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961ED" w14:textId="77777777" w:rsidR="00CD7134" w:rsidRDefault="00CD7134" w:rsidP="00CD7134">
      <w:pPr>
        <w:rPr>
          <w:rFonts w:eastAsia="Times New Roman" w:cstheme="minorHAnsi"/>
          <w:sz w:val="24"/>
          <w:szCs w:val="24"/>
        </w:rPr>
      </w:pPr>
      <w:r>
        <w:rPr>
          <w:rFonts w:eastAsia="Times New Roman" w:cstheme="minorHAnsi"/>
          <w:sz w:val="24"/>
          <w:szCs w:val="24"/>
        </w:rPr>
        <w:t>Pink Book Webinar 2019</w:t>
      </w:r>
    </w:p>
    <w:p w14:paraId="424E867B" w14:textId="77777777" w:rsidR="00CD7134" w:rsidRDefault="00CD7134" w:rsidP="00CD7134">
      <w:pPr>
        <w:rPr>
          <w:rFonts w:eastAsia="Times New Roman" w:cstheme="minorHAnsi"/>
          <w:sz w:val="24"/>
          <w:szCs w:val="24"/>
        </w:rPr>
      </w:pPr>
      <w:r>
        <w:rPr>
          <w:rFonts w:eastAsia="Times New Roman" w:cstheme="minorHAnsi"/>
          <w:sz w:val="24"/>
          <w:szCs w:val="24"/>
        </w:rPr>
        <w:t>Measles, Mumps, Rubella</w:t>
      </w:r>
    </w:p>
    <w:p w14:paraId="5989FE2A" w14:textId="627AEB24" w:rsidR="00CD7134" w:rsidRDefault="00CD7134" w:rsidP="00CD7134">
      <w:pPr>
        <w:rPr>
          <w:rFonts w:eastAsia="Times New Roman" w:cstheme="minorHAnsi"/>
          <w:sz w:val="24"/>
          <w:szCs w:val="24"/>
        </w:rPr>
      </w:pPr>
      <w:r>
        <w:rPr>
          <w:rFonts w:eastAsia="Times New Roman" w:cstheme="minorHAnsi"/>
          <w:sz w:val="24"/>
          <w:szCs w:val="24"/>
        </w:rPr>
        <w:t>Unanswered Chat Box Q</w:t>
      </w:r>
      <w:r w:rsidR="00C62E2F">
        <w:rPr>
          <w:rFonts w:eastAsia="Times New Roman" w:cstheme="minorHAnsi"/>
          <w:sz w:val="24"/>
          <w:szCs w:val="24"/>
        </w:rPr>
        <w:t>uestions</w:t>
      </w:r>
      <w:r>
        <w:rPr>
          <w:rFonts w:eastAsia="Times New Roman" w:cstheme="minorHAnsi"/>
          <w:sz w:val="24"/>
          <w:szCs w:val="24"/>
        </w:rPr>
        <w:t xml:space="preserve"> and A</w:t>
      </w:r>
      <w:r w:rsidR="00C62E2F">
        <w:rPr>
          <w:rFonts w:eastAsia="Times New Roman" w:cstheme="minorHAnsi"/>
          <w:sz w:val="24"/>
          <w:szCs w:val="24"/>
        </w:rPr>
        <w:t>nswers</w:t>
      </w:r>
    </w:p>
    <w:p w14:paraId="1DE8772A" w14:textId="77777777" w:rsidR="00CD7134" w:rsidRDefault="00CD7134" w:rsidP="00CD7134">
      <w:pPr>
        <w:rPr>
          <w:rFonts w:eastAsia="Times New Roman" w:cstheme="minorHAnsi"/>
          <w:sz w:val="24"/>
          <w:szCs w:val="24"/>
        </w:rPr>
      </w:pPr>
      <w:r>
        <w:rPr>
          <w:rFonts w:eastAsia="Times New Roman" w:cstheme="minorHAnsi"/>
          <w:sz w:val="24"/>
          <w:szCs w:val="24"/>
        </w:rPr>
        <w:t>August 14, 2019</w:t>
      </w:r>
    </w:p>
    <w:p w14:paraId="7A303AEE" w14:textId="77777777" w:rsidR="00CD7134" w:rsidRDefault="00CD7134" w:rsidP="00CD7134"/>
    <w:p w14:paraId="2751B0E7" w14:textId="577AA459" w:rsidR="00CD7134" w:rsidRDefault="00CD7134" w:rsidP="00CD7134">
      <w:pPr>
        <w:pStyle w:val="ListParagraph"/>
        <w:numPr>
          <w:ilvl w:val="0"/>
          <w:numId w:val="1"/>
        </w:numPr>
      </w:pPr>
      <w:r>
        <w:t>The disease incidence stats for measles within the last 10 years show thousands of measles incidents but at a death rate below 1 in 1</w:t>
      </w:r>
      <w:r w:rsidR="007A4352">
        <w:t>,</w:t>
      </w:r>
      <w:r>
        <w:t xml:space="preserve">000. What accounts for the difference in </w:t>
      </w:r>
      <w:r w:rsidR="00C62E2F">
        <w:t xml:space="preserve">the </w:t>
      </w:r>
      <w:r>
        <w:t xml:space="preserve">reported death rate vs. </w:t>
      </w:r>
      <w:r w:rsidR="00C62E2F">
        <w:t xml:space="preserve">the </w:t>
      </w:r>
      <w:r>
        <w:t>observed death rate?</w:t>
      </w:r>
    </w:p>
    <w:p w14:paraId="03FC4BE3" w14:textId="77777777" w:rsidR="00CD7134" w:rsidRDefault="00CD7134" w:rsidP="00CD7134">
      <w:pPr>
        <w:pStyle w:val="ListParagraph"/>
      </w:pPr>
    </w:p>
    <w:p w14:paraId="00F7FF43" w14:textId="538F8F65" w:rsidR="00CD7134" w:rsidRDefault="00D45DEE" w:rsidP="00CD7134">
      <w:pPr>
        <w:pStyle w:val="ListParagraph"/>
      </w:pPr>
      <w:r w:rsidRPr="00D45DEE">
        <w:t xml:space="preserve">There have been </w:t>
      </w:r>
      <w:r w:rsidR="007A4352">
        <w:t>three</w:t>
      </w:r>
      <w:r w:rsidRPr="00D45DEE">
        <w:t xml:space="preserve"> measles-related deaths reported since the year 2000</w:t>
      </w:r>
      <w:r w:rsidR="007A4352">
        <w:t>—o</w:t>
      </w:r>
      <w:r w:rsidRPr="00D45DEE">
        <w:t>ne death in 2015 and two deaths in 2003.</w:t>
      </w:r>
    </w:p>
    <w:p w14:paraId="45085EDE" w14:textId="77777777" w:rsidR="004B50FC" w:rsidRDefault="004B50FC" w:rsidP="00CD7134">
      <w:pPr>
        <w:pStyle w:val="ListParagraph"/>
      </w:pPr>
    </w:p>
    <w:p w14:paraId="6D2C46F5" w14:textId="08540B58" w:rsidR="00CD7134" w:rsidRDefault="004B50FC" w:rsidP="004B50FC">
      <w:pPr>
        <w:pStyle w:val="ListParagraph"/>
        <w:numPr>
          <w:ilvl w:val="0"/>
          <w:numId w:val="1"/>
        </w:numPr>
      </w:pPr>
      <w:r>
        <w:t xml:space="preserve">Can titers be used </w:t>
      </w:r>
      <w:r w:rsidR="007A4352">
        <w:t>to meet</w:t>
      </w:r>
      <w:r>
        <w:t xml:space="preserve"> school vaccination requirements or </w:t>
      </w:r>
      <w:r w:rsidR="00C62E2F">
        <w:t>is</w:t>
      </w:r>
      <w:r>
        <w:t xml:space="preserve"> vaccination</w:t>
      </w:r>
      <w:r w:rsidR="00C62E2F">
        <w:t xml:space="preserve"> required</w:t>
      </w:r>
      <w:r w:rsidR="007A4352">
        <w:t>?</w:t>
      </w:r>
    </w:p>
    <w:p w14:paraId="56AB2847" w14:textId="77777777" w:rsidR="004B50FC" w:rsidRDefault="004B50FC" w:rsidP="004B50FC">
      <w:pPr>
        <w:pStyle w:val="ListParagraph"/>
      </w:pPr>
    </w:p>
    <w:p w14:paraId="7F350E9F" w14:textId="03E5DA9D" w:rsidR="00F9279D" w:rsidRDefault="004B50FC" w:rsidP="004B50FC">
      <w:pPr>
        <w:pStyle w:val="ListParagraph"/>
      </w:pPr>
      <w:r>
        <w:t>ACIP consider</w:t>
      </w:r>
      <w:r w:rsidR="00C62E2F">
        <w:t>s</w:t>
      </w:r>
      <w:r>
        <w:t xml:space="preserve"> laboratory evidence of immunity to be acceptable for all individuals. </w:t>
      </w:r>
      <w:r w:rsidR="00C62E2F">
        <w:t>A patient should have</w:t>
      </w:r>
      <w:r w:rsidR="00F9279D">
        <w:t xml:space="preserve"> titers demonstrating immunity </w:t>
      </w:r>
      <w:r w:rsidR="00C62E2F">
        <w:t>to all three diseases covered by MMR vaccine</w:t>
      </w:r>
      <w:r w:rsidR="00F9279D">
        <w:t xml:space="preserve">. </w:t>
      </w:r>
    </w:p>
    <w:p w14:paraId="317EDA01" w14:textId="77777777" w:rsidR="00F9279D" w:rsidRDefault="00F9279D" w:rsidP="004B50FC">
      <w:pPr>
        <w:pStyle w:val="ListParagraph"/>
      </w:pPr>
    </w:p>
    <w:p w14:paraId="6A7E3619" w14:textId="31DDCCD4" w:rsidR="004B50FC" w:rsidRPr="008E37AF" w:rsidRDefault="00F9279D" w:rsidP="004B50FC">
      <w:pPr>
        <w:pStyle w:val="ListParagraph"/>
        <w:rPr>
          <w:color w:val="000000" w:themeColor="text1"/>
        </w:rPr>
      </w:pPr>
      <w:r>
        <w:t>S</w:t>
      </w:r>
      <w:r w:rsidR="004B50FC">
        <w:t>tate, local, and/or schoo</w:t>
      </w:r>
      <w:r w:rsidR="001E577E">
        <w:t>l requirements may vary by jurisdiction</w:t>
      </w:r>
      <w:r w:rsidR="004B50FC">
        <w:t>.</w:t>
      </w:r>
      <w:r>
        <w:t xml:space="preserve"> If the </w:t>
      </w:r>
      <w:r w:rsidR="007A4352">
        <w:t xml:space="preserve">jurisdiction </w:t>
      </w:r>
      <w:r>
        <w:t>will not accept titers, then you would need to abide by their policy.</w:t>
      </w:r>
      <w:r w:rsidR="004B50FC">
        <w:t xml:space="preserve"> We recommend that you check within your jurisdiction to </w:t>
      </w:r>
      <w:r w:rsidR="004B50FC" w:rsidRPr="008E37AF">
        <w:rPr>
          <w:color w:val="000000" w:themeColor="text1"/>
        </w:rPr>
        <w:t>find out what the requirements are and then adhere to those requirements.</w:t>
      </w:r>
    </w:p>
    <w:p w14:paraId="06EE3FD7" w14:textId="77777777" w:rsidR="004B50FC" w:rsidRPr="008E37AF" w:rsidRDefault="004B50FC" w:rsidP="004B50FC">
      <w:pPr>
        <w:pStyle w:val="ListParagraph"/>
        <w:rPr>
          <w:color w:val="000000" w:themeColor="text1"/>
        </w:rPr>
      </w:pPr>
    </w:p>
    <w:p w14:paraId="7D13DE03" w14:textId="30230893" w:rsidR="00CD7134" w:rsidRPr="008E37AF" w:rsidRDefault="004B50FC" w:rsidP="004B50FC">
      <w:pPr>
        <w:pStyle w:val="ListParagraph"/>
        <w:numPr>
          <w:ilvl w:val="0"/>
          <w:numId w:val="1"/>
        </w:numPr>
        <w:rPr>
          <w:color w:val="000000" w:themeColor="text1"/>
        </w:rPr>
      </w:pPr>
      <w:r w:rsidRPr="008E37AF">
        <w:rPr>
          <w:color w:val="000000" w:themeColor="text1"/>
        </w:rPr>
        <w:t>Is Puerto Rico included in the data</w:t>
      </w:r>
      <w:r w:rsidR="001E577E" w:rsidRPr="008E37AF">
        <w:rPr>
          <w:color w:val="000000" w:themeColor="text1"/>
        </w:rPr>
        <w:t xml:space="preserve"> </w:t>
      </w:r>
      <w:r w:rsidR="007A4352">
        <w:rPr>
          <w:color w:val="000000" w:themeColor="text1"/>
        </w:rPr>
        <w:t>(</w:t>
      </w:r>
      <w:r w:rsidR="001E577E" w:rsidRPr="008E37AF">
        <w:rPr>
          <w:color w:val="000000" w:themeColor="text1"/>
        </w:rPr>
        <w:t>I don’t see it on the measles outbreak map of the US</w:t>
      </w:r>
      <w:r w:rsidR="007A4352">
        <w:rPr>
          <w:color w:val="000000" w:themeColor="text1"/>
        </w:rPr>
        <w:t>)</w:t>
      </w:r>
      <w:r w:rsidRPr="008E37AF">
        <w:rPr>
          <w:color w:val="000000" w:themeColor="text1"/>
        </w:rPr>
        <w:t xml:space="preserve">? Have there been any cases of measles reported in Puerto Rico </w:t>
      </w:r>
      <w:r w:rsidR="007A4352">
        <w:rPr>
          <w:color w:val="000000" w:themeColor="text1"/>
        </w:rPr>
        <w:t>during</w:t>
      </w:r>
      <w:r w:rsidRPr="008E37AF">
        <w:rPr>
          <w:color w:val="000000" w:themeColor="text1"/>
        </w:rPr>
        <w:t xml:space="preserve"> the current outbreak?</w:t>
      </w:r>
    </w:p>
    <w:p w14:paraId="7E392128" w14:textId="77777777" w:rsidR="003B606F" w:rsidRPr="008E37AF" w:rsidRDefault="003B606F" w:rsidP="003B606F">
      <w:pPr>
        <w:pStyle w:val="ListParagraph"/>
        <w:rPr>
          <w:color w:val="000000" w:themeColor="text1"/>
        </w:rPr>
      </w:pPr>
    </w:p>
    <w:p w14:paraId="70B9F656" w14:textId="42779961" w:rsidR="003B606F" w:rsidRPr="008E37AF" w:rsidRDefault="003B606F" w:rsidP="003B606F">
      <w:pPr>
        <w:pStyle w:val="ListParagraph"/>
        <w:rPr>
          <w:color w:val="000000" w:themeColor="text1"/>
        </w:rPr>
      </w:pPr>
      <w:r w:rsidRPr="008E37AF">
        <w:rPr>
          <w:color w:val="000000" w:themeColor="text1"/>
        </w:rPr>
        <w:t>Puerto Ric</w:t>
      </w:r>
      <w:r w:rsidR="008E37AF" w:rsidRPr="008E37AF">
        <w:rPr>
          <w:color w:val="000000" w:themeColor="text1"/>
        </w:rPr>
        <w:t>o</w:t>
      </w:r>
      <w:r w:rsidRPr="008E37AF">
        <w:rPr>
          <w:color w:val="000000" w:themeColor="text1"/>
        </w:rPr>
        <w:t xml:space="preserve"> is included in the national data shown</w:t>
      </w:r>
      <w:r w:rsidR="007A4352">
        <w:rPr>
          <w:color w:val="000000" w:themeColor="text1"/>
        </w:rPr>
        <w:t>.</w:t>
      </w:r>
      <w:r w:rsidR="008E37AF" w:rsidRPr="008E37AF">
        <w:rPr>
          <w:color w:val="000000" w:themeColor="text1"/>
        </w:rPr>
        <w:t xml:space="preserve"> </w:t>
      </w:r>
      <w:r w:rsidR="007A4352">
        <w:rPr>
          <w:color w:val="000000" w:themeColor="text1"/>
        </w:rPr>
        <w:t>H</w:t>
      </w:r>
      <w:r w:rsidR="008E37AF" w:rsidRPr="008E37AF">
        <w:rPr>
          <w:color w:val="000000" w:themeColor="text1"/>
        </w:rPr>
        <w:t>owever, there were no measles cases reported for the specified time period.</w:t>
      </w:r>
    </w:p>
    <w:p w14:paraId="292C365B" w14:textId="77777777" w:rsidR="004B50FC" w:rsidRDefault="004B50FC" w:rsidP="001E577E">
      <w:pPr>
        <w:pStyle w:val="ListParagraph"/>
      </w:pPr>
    </w:p>
    <w:p w14:paraId="202E174E" w14:textId="5F6CF766" w:rsidR="00CD7134" w:rsidRDefault="00CD7134" w:rsidP="001E577E">
      <w:pPr>
        <w:pStyle w:val="ListParagraph"/>
        <w:numPr>
          <w:ilvl w:val="0"/>
          <w:numId w:val="1"/>
        </w:numPr>
      </w:pPr>
      <w:r>
        <w:t xml:space="preserve">The majority of people we </w:t>
      </w:r>
      <w:r w:rsidR="00610B21">
        <w:t xml:space="preserve">come in </w:t>
      </w:r>
      <w:r>
        <w:t xml:space="preserve">contact </w:t>
      </w:r>
      <w:r w:rsidR="00610B21">
        <w:t xml:space="preserve">with </w:t>
      </w:r>
      <w:r>
        <w:t xml:space="preserve">DON'T have documentation of a </w:t>
      </w:r>
      <w:r w:rsidR="00610B21">
        <w:t xml:space="preserve">dose of </w:t>
      </w:r>
      <w:r>
        <w:t>MMR (childhood records are hard to find). In that case</w:t>
      </w:r>
      <w:r w:rsidR="007A4352">
        <w:t>,</w:t>
      </w:r>
      <w:r>
        <w:t xml:space="preserve"> would you recommend just asking them to get </w:t>
      </w:r>
      <w:r w:rsidR="007A4352">
        <w:t xml:space="preserve">a dose of </w:t>
      </w:r>
      <w:r>
        <w:t xml:space="preserve">MMR or </w:t>
      </w:r>
      <w:r w:rsidR="007A4352">
        <w:t>perform</w:t>
      </w:r>
      <w:r w:rsidR="00610B21">
        <w:t>ing</w:t>
      </w:r>
      <w:r>
        <w:t xml:space="preserve"> serology?</w:t>
      </w:r>
    </w:p>
    <w:p w14:paraId="2340C170" w14:textId="77777777" w:rsidR="001E577E" w:rsidRDefault="001E577E" w:rsidP="001E577E">
      <w:pPr>
        <w:pStyle w:val="ListParagraph"/>
      </w:pPr>
    </w:p>
    <w:p w14:paraId="06499EB6" w14:textId="4BDD6F06" w:rsidR="001E577E" w:rsidRDefault="001E577E" w:rsidP="001E577E">
      <w:pPr>
        <w:pStyle w:val="ListParagraph"/>
      </w:pPr>
      <w:r>
        <w:t>Both are options</w:t>
      </w:r>
      <w:r w:rsidRPr="001E577E">
        <w:t>. You can test fo</w:t>
      </w:r>
      <w:r>
        <w:t xml:space="preserve">r immunity or you can just give </w:t>
      </w:r>
      <w:r w:rsidRPr="001E577E">
        <w:t xml:space="preserve">MMR </w:t>
      </w:r>
      <w:r w:rsidR="007A4352">
        <w:t xml:space="preserve">vaccine </w:t>
      </w:r>
      <w:r>
        <w:t xml:space="preserve">based on the </w:t>
      </w:r>
      <w:r w:rsidR="007A4352">
        <w:t xml:space="preserve">patient’s </w:t>
      </w:r>
      <w:r>
        <w:t>age and any risk factors</w:t>
      </w:r>
      <w:r w:rsidRPr="001E577E">
        <w:t>. There is no harm in giving MMR vaccine to a person who may already be immune to one or more of the vaccine viruses. If you or the patient opt</w:t>
      </w:r>
      <w:r w:rsidR="007A4352">
        <w:t>s</w:t>
      </w:r>
      <w:r w:rsidRPr="001E577E">
        <w:t xml:space="preserve"> for testing, and the tests indicate the patient is not immune to one or more of the vaccine components, </w:t>
      </w:r>
      <w:r>
        <w:t xml:space="preserve">administer </w:t>
      </w:r>
      <w:r w:rsidR="00B96EE3">
        <w:t xml:space="preserve">the appropriate number of MMR </w:t>
      </w:r>
      <w:r>
        <w:t>vaccine</w:t>
      </w:r>
      <w:r w:rsidR="00B96EE3">
        <w:t xml:space="preserve"> doses (1 or 2)</w:t>
      </w:r>
      <w:r>
        <w:t xml:space="preserve"> based on </w:t>
      </w:r>
      <w:r w:rsidR="00B96EE3">
        <w:t>age and risk factors</w:t>
      </w:r>
      <w:r w:rsidRPr="001E577E">
        <w:t>. If any test results are indeterminate or equivocal, consider your patient nonimmune. ACIP does not recommend serologic testing after vaccination because commercial tests may not be sensitive enough to reliably detect vaccine-induced immunity</w:t>
      </w:r>
      <w:r w:rsidR="00B96EE3">
        <w:t>.</w:t>
      </w:r>
    </w:p>
    <w:p w14:paraId="515A685C" w14:textId="77777777" w:rsidR="00500E9F" w:rsidRDefault="00500E9F" w:rsidP="001E577E">
      <w:pPr>
        <w:pStyle w:val="ListParagraph"/>
      </w:pPr>
    </w:p>
    <w:p w14:paraId="14626CC3" w14:textId="00852FA1" w:rsidR="00CD7134" w:rsidRDefault="00CD7134" w:rsidP="00B96EE3">
      <w:pPr>
        <w:pStyle w:val="ListParagraph"/>
        <w:numPr>
          <w:ilvl w:val="0"/>
          <w:numId w:val="1"/>
        </w:numPr>
      </w:pPr>
      <w:r>
        <w:t>How frequent is MMR-vaccine</w:t>
      </w:r>
      <w:r w:rsidR="007A4352">
        <w:t>-related</w:t>
      </w:r>
      <w:r>
        <w:t xml:space="preserve"> encephalitis reported? The anti-vax community speaks of this often.</w:t>
      </w:r>
    </w:p>
    <w:p w14:paraId="1EF3386D" w14:textId="563E225E" w:rsidR="00B96EE3" w:rsidRDefault="00B96EE3" w:rsidP="00500E9F">
      <w:pPr>
        <w:ind w:left="720"/>
      </w:pPr>
      <w:r>
        <w:t>According the manufacturer</w:t>
      </w:r>
      <w:r w:rsidR="007A4352">
        <w:t>’s</w:t>
      </w:r>
      <w:r>
        <w:t xml:space="preserve"> package insert, “Encephalitis and encephalopathy have been reported approximately once for every 3 million doses of M-M-R II or measles-, mumps-, and rubella-containing vaccine administered since licensure of these vaccines.</w:t>
      </w:r>
      <w:r w:rsidR="00500E9F">
        <w:t xml:space="preserve"> </w:t>
      </w:r>
      <w:r>
        <w:t>The risk of serious neurological disorders following live measles virus vaccine administration remains less than the risk of encephalitis and encephalopathy following infection with wild-type measles (1 per 1000 reported cases).”</w:t>
      </w:r>
    </w:p>
    <w:p w14:paraId="73C8814A" w14:textId="08F9145F" w:rsidR="00B96EE3" w:rsidRDefault="00E57847" w:rsidP="00B96EE3">
      <w:pPr>
        <w:ind w:left="720"/>
      </w:pPr>
      <w:r>
        <w:t>This and additional information can be found at</w:t>
      </w:r>
      <w:r w:rsidR="00B96EE3">
        <w:t xml:space="preserve"> </w:t>
      </w:r>
      <w:r w:rsidR="00B96EE3" w:rsidRPr="00B96EE3">
        <w:t>https://www.fda.gov/media/75191/download</w:t>
      </w:r>
      <w:r w:rsidR="007A4352">
        <w:t>.</w:t>
      </w:r>
    </w:p>
    <w:p w14:paraId="6E14EFF6" w14:textId="568F3629" w:rsidR="00CD7134" w:rsidRDefault="00CD7134" w:rsidP="00B96EE3">
      <w:pPr>
        <w:pStyle w:val="ListParagraph"/>
        <w:numPr>
          <w:ilvl w:val="0"/>
          <w:numId w:val="1"/>
        </w:numPr>
      </w:pPr>
      <w:r>
        <w:t>Can MMR vaccin</w:t>
      </w:r>
      <w:r w:rsidR="007A4352">
        <w:t>e</w:t>
      </w:r>
      <w:r>
        <w:t xml:space="preserve"> be administered to pregnant women?</w:t>
      </w:r>
    </w:p>
    <w:p w14:paraId="3446A8C7" w14:textId="77777777" w:rsidR="00B96EE3" w:rsidRDefault="00B96EE3" w:rsidP="00B96EE3">
      <w:pPr>
        <w:pStyle w:val="ListParagraph"/>
      </w:pPr>
    </w:p>
    <w:p w14:paraId="15C5B03D" w14:textId="2A78B66B" w:rsidR="00B96EE3" w:rsidRDefault="00B96EE3" w:rsidP="00B96EE3">
      <w:pPr>
        <w:pStyle w:val="ListParagraph"/>
      </w:pPr>
      <w:r>
        <w:t xml:space="preserve">No, MMR should not be administered to pregnant women. </w:t>
      </w:r>
      <w:r w:rsidRPr="00B96EE3">
        <w:t xml:space="preserve">ACIP recommends that </w:t>
      </w:r>
      <w:r w:rsidR="007A4352">
        <w:t>women</w:t>
      </w:r>
      <w:r w:rsidRPr="00B96EE3">
        <w:t xml:space="preserve"> of childbearing age be asked if they are pregnant or likely to become pregnant within the next 4 weeks. If the answer is yes, the woman should not be vaccinated</w:t>
      </w:r>
      <w:r w:rsidR="002415D0">
        <w:t xml:space="preserve"> until after the pregnancy</w:t>
      </w:r>
      <w:r w:rsidRPr="00B96EE3">
        <w:t>. Because there is a theoretical risk to the fetus when the mother receives a live</w:t>
      </w:r>
      <w:r w:rsidR="007A4352">
        <w:t>-</w:t>
      </w:r>
      <w:r w:rsidRPr="00B96EE3">
        <w:t xml:space="preserve">virus vaccine, women should be counseled to avoid becoming pregnant for 4 weeks after receipt of MMR vaccine. The vaccine package insert recommends deferral of pregnancy for 3 months after vaccination, but ACIP’s off-label recommendation is </w:t>
      </w:r>
      <w:r w:rsidR="007A4352">
        <w:t xml:space="preserve">a waiting period of </w:t>
      </w:r>
      <w:r w:rsidRPr="00B96EE3">
        <w:t xml:space="preserve">4 weeks. If the vaccine is inadvertently administered to a pregnant woman or a pregnancy occurs within 28 days of vaccination, </w:t>
      </w:r>
      <w:r w:rsidR="00CA47B7">
        <w:t>the patient</w:t>
      </w:r>
      <w:r w:rsidRPr="00B96EE3">
        <w:t xml:space="preserve"> should be counseled about the theoretical risk to the fetus. There have been no reports of vaccine-related harm to a fetus because of inadvertent vaccination during pregnancy</w:t>
      </w:r>
      <w:r w:rsidR="00CA47B7">
        <w:t>,</w:t>
      </w:r>
      <w:r w:rsidRPr="00B96EE3">
        <w:t xml:space="preserve"> so MMR vaccination during pregnancy should not be considered an indication for termination of pregnancy.</w:t>
      </w:r>
    </w:p>
    <w:p w14:paraId="5C06D4BF" w14:textId="77777777" w:rsidR="002415D0" w:rsidRDefault="002415D0" w:rsidP="00B96EE3">
      <w:pPr>
        <w:pStyle w:val="ListParagraph"/>
      </w:pPr>
    </w:p>
    <w:p w14:paraId="0D1C9342" w14:textId="7C5A7A30" w:rsidR="00CD7134" w:rsidRDefault="00CD7134" w:rsidP="002415D0">
      <w:pPr>
        <w:pStyle w:val="ListParagraph"/>
        <w:numPr>
          <w:ilvl w:val="0"/>
          <w:numId w:val="1"/>
        </w:numPr>
      </w:pPr>
      <w:r>
        <w:t>Can you please review the evidence o</w:t>
      </w:r>
      <w:r w:rsidR="002415D0">
        <w:t>f measles immunity criteria</w:t>
      </w:r>
      <w:r w:rsidR="00CA47B7">
        <w:t>,</w:t>
      </w:r>
      <w:r w:rsidR="002415D0">
        <w:t xml:space="preserve"> including th</w:t>
      </w:r>
      <w:r w:rsidR="00CA47B7">
        <w:t>e</w:t>
      </w:r>
      <w:r w:rsidR="002415D0">
        <w:t xml:space="preserve"> </w:t>
      </w:r>
      <w:r w:rsidR="00CA47B7">
        <w:t>criteria for</w:t>
      </w:r>
      <w:r w:rsidR="002415D0">
        <w:t xml:space="preserve"> </w:t>
      </w:r>
      <w:r>
        <w:t>health</w:t>
      </w:r>
      <w:r w:rsidR="00CA47B7">
        <w:t xml:space="preserve"> </w:t>
      </w:r>
      <w:r>
        <w:t>care personnel?</w:t>
      </w:r>
    </w:p>
    <w:p w14:paraId="1C4A05B9" w14:textId="77777777" w:rsidR="002415D0" w:rsidRDefault="002415D0" w:rsidP="002415D0">
      <w:pPr>
        <w:pStyle w:val="ListParagraph"/>
      </w:pPr>
    </w:p>
    <w:p w14:paraId="5ECA4D44" w14:textId="360E72DB" w:rsidR="002415D0" w:rsidRDefault="002415D0" w:rsidP="002415D0">
      <w:pPr>
        <w:pStyle w:val="ListParagraph"/>
      </w:pPr>
      <w:r>
        <w:t xml:space="preserve">Acceptable presumptive evidence of immunity </w:t>
      </w:r>
      <w:r w:rsidR="00610B21">
        <w:t>to</w:t>
      </w:r>
      <w:r>
        <w:t xml:space="preserve"> measles includes at least one of the following:</w:t>
      </w:r>
    </w:p>
    <w:p w14:paraId="12031959" w14:textId="6C2C3500" w:rsidR="002415D0" w:rsidRDefault="002415D0" w:rsidP="002415D0">
      <w:pPr>
        <w:pStyle w:val="ListParagraph"/>
      </w:pPr>
      <w:r>
        <w:t>•</w:t>
      </w:r>
      <w:r w:rsidR="00CA47B7">
        <w:t xml:space="preserve"> W</w:t>
      </w:r>
      <w:r>
        <w:t xml:space="preserve">ritten documentation of adequate vaccination </w:t>
      </w:r>
    </w:p>
    <w:p w14:paraId="1BF03789" w14:textId="76FA2A45" w:rsidR="002415D0" w:rsidRDefault="002415D0" w:rsidP="00500E9F">
      <w:pPr>
        <w:pStyle w:val="ListParagraph"/>
        <w:ind w:left="1440"/>
      </w:pPr>
      <w:r>
        <w:t>◦</w:t>
      </w:r>
      <w:r w:rsidR="00CA47B7">
        <w:t xml:space="preserve"> 1</w:t>
      </w:r>
      <w:r>
        <w:t xml:space="preserve"> or more doses of a measles-containing vaccine administered on or after the first birthday for preschool-age children and adults not at high risk</w:t>
      </w:r>
    </w:p>
    <w:p w14:paraId="698F5231" w14:textId="5C19701A" w:rsidR="002415D0" w:rsidRDefault="002415D0" w:rsidP="00500E9F">
      <w:pPr>
        <w:pStyle w:val="ListParagraph"/>
        <w:ind w:left="1440"/>
      </w:pPr>
      <w:r>
        <w:t>◦</w:t>
      </w:r>
      <w:r w:rsidR="00CA47B7">
        <w:t xml:space="preserve"> 2</w:t>
      </w:r>
      <w:r>
        <w:t xml:space="preserve"> doses of measles-containing vaccine for school-age children and adults at high risk, including college students, </w:t>
      </w:r>
      <w:r w:rsidRPr="00DF4869">
        <w:rPr>
          <w:b/>
        </w:rPr>
        <w:t>health</w:t>
      </w:r>
      <w:r w:rsidR="00CA47B7">
        <w:rPr>
          <w:b/>
        </w:rPr>
        <w:t xml:space="preserve"> </w:t>
      </w:r>
      <w:r w:rsidRPr="00DF4869">
        <w:rPr>
          <w:b/>
        </w:rPr>
        <w:t>care personnel</w:t>
      </w:r>
      <w:r>
        <w:t>, and international travelers</w:t>
      </w:r>
    </w:p>
    <w:p w14:paraId="3A511052" w14:textId="56EE8D68" w:rsidR="002415D0" w:rsidRDefault="002415D0" w:rsidP="002415D0">
      <w:pPr>
        <w:pStyle w:val="ListParagraph"/>
      </w:pPr>
      <w:r>
        <w:t>•</w:t>
      </w:r>
      <w:r w:rsidR="00CA47B7">
        <w:t xml:space="preserve"> L</w:t>
      </w:r>
      <w:r>
        <w:t>aboratory evidence of immunity</w:t>
      </w:r>
    </w:p>
    <w:p w14:paraId="52EBF08E" w14:textId="18B3A135" w:rsidR="002415D0" w:rsidRDefault="002415D0" w:rsidP="002415D0">
      <w:pPr>
        <w:pStyle w:val="ListParagraph"/>
      </w:pPr>
      <w:r>
        <w:t>•</w:t>
      </w:r>
      <w:r w:rsidR="00CA47B7">
        <w:t xml:space="preserve"> L</w:t>
      </w:r>
      <w:r>
        <w:t>aboratory confirmation of measles</w:t>
      </w:r>
    </w:p>
    <w:p w14:paraId="40785E76" w14:textId="3E3C1A3D" w:rsidR="002415D0" w:rsidRDefault="002415D0" w:rsidP="002415D0">
      <w:pPr>
        <w:pStyle w:val="ListParagraph"/>
      </w:pPr>
      <w:r>
        <w:t>•</w:t>
      </w:r>
      <w:r w:rsidR="00CA47B7">
        <w:t xml:space="preserve"> B</w:t>
      </w:r>
      <w:r>
        <w:t>irth before 1957</w:t>
      </w:r>
    </w:p>
    <w:p w14:paraId="64CCBDC4" w14:textId="77777777" w:rsidR="002415D0" w:rsidRDefault="002415D0" w:rsidP="002415D0">
      <w:pPr>
        <w:pStyle w:val="ListParagraph"/>
      </w:pPr>
    </w:p>
    <w:p w14:paraId="1D98ED6F" w14:textId="4BBA7206" w:rsidR="002415D0" w:rsidRDefault="002415D0" w:rsidP="002415D0">
      <w:pPr>
        <w:pStyle w:val="ListParagraph"/>
      </w:pPr>
      <w:r>
        <w:t>Although birth before 1957 is considered acceptable evidence of measles immunity, health</w:t>
      </w:r>
      <w:r w:rsidR="00CA47B7">
        <w:t xml:space="preserve"> </w:t>
      </w:r>
      <w:r>
        <w:t xml:space="preserve">care facilities should consider vaccinating unvaccinated personnel born before 1957 who do not have other evidence of immunity with 2 doses of MMR vaccine (minimum interval </w:t>
      </w:r>
      <w:r w:rsidR="00CA47B7">
        <w:t xml:space="preserve">of </w:t>
      </w:r>
      <w:r>
        <w:t>28 days</w:t>
      </w:r>
      <w:r w:rsidR="00CA47B7">
        <w:t xml:space="preserve"> between doses</w:t>
      </w:r>
      <w:r>
        <w:t xml:space="preserve">). </w:t>
      </w:r>
    </w:p>
    <w:p w14:paraId="0ED97E04" w14:textId="77777777" w:rsidR="002415D0" w:rsidRDefault="002415D0" w:rsidP="002415D0">
      <w:pPr>
        <w:pStyle w:val="ListParagraph"/>
      </w:pPr>
      <w:r>
        <w:t xml:space="preserve"> </w:t>
      </w:r>
    </w:p>
    <w:p w14:paraId="48C405E4" w14:textId="243386D1" w:rsidR="002415D0" w:rsidRDefault="002415D0" w:rsidP="002415D0">
      <w:pPr>
        <w:pStyle w:val="ListParagraph"/>
      </w:pPr>
      <w:r>
        <w:t>During an outbreak of measles, health</w:t>
      </w:r>
      <w:r w:rsidR="00CA47B7">
        <w:t xml:space="preserve"> </w:t>
      </w:r>
      <w:r>
        <w:t>care facilities should recommend 2 doses of MMR vaccine at the appropriate interval for unvaccinated health</w:t>
      </w:r>
      <w:r w:rsidR="00CA47B7">
        <w:t xml:space="preserve"> </w:t>
      </w:r>
      <w:r>
        <w:t>care personnel regardless of birth year if they lack laboratory evidence of measles immunity.</w:t>
      </w:r>
    </w:p>
    <w:p w14:paraId="2322DCA3" w14:textId="77777777" w:rsidR="002415D0" w:rsidRDefault="002415D0" w:rsidP="002415D0">
      <w:pPr>
        <w:pStyle w:val="ListParagraph"/>
      </w:pPr>
    </w:p>
    <w:p w14:paraId="0B7726C5" w14:textId="11263411" w:rsidR="00500E9F" w:rsidRDefault="00E57847" w:rsidP="00CD7134">
      <w:pPr>
        <w:pStyle w:val="ListParagraph"/>
        <w:numPr>
          <w:ilvl w:val="0"/>
          <w:numId w:val="1"/>
        </w:numPr>
      </w:pPr>
      <w:r>
        <w:t>H</w:t>
      </w:r>
      <w:r w:rsidR="00CD7134">
        <w:t xml:space="preserve">ow should we handle cases where the physician administers a </w:t>
      </w:r>
      <w:r w:rsidR="00CA47B7">
        <w:t xml:space="preserve">dose of </w:t>
      </w:r>
      <w:r w:rsidR="00CD7134">
        <w:t>MMR at 1</w:t>
      </w:r>
      <w:r w:rsidR="00CA47B7">
        <w:t>–</w:t>
      </w:r>
      <w:r w:rsidR="00CD7134">
        <w:t xml:space="preserve">2 years </w:t>
      </w:r>
      <w:r w:rsidR="00CA47B7">
        <w:t>of age,</w:t>
      </w:r>
      <w:r w:rsidR="00CD7134">
        <w:t xml:space="preserve"> then runs labs for ti</w:t>
      </w:r>
      <w:r>
        <w:t xml:space="preserve">ters a month later </w:t>
      </w:r>
      <w:r w:rsidR="00CA47B7">
        <w:t>that</w:t>
      </w:r>
      <w:r>
        <w:t xml:space="preserve"> show </w:t>
      </w:r>
      <w:r w:rsidR="00500E9F">
        <w:t xml:space="preserve">immunity to </w:t>
      </w:r>
      <w:r w:rsidR="00CA47B7">
        <w:t>measles, mumps, and rubella</w:t>
      </w:r>
      <w:r w:rsidR="00500E9F">
        <w:t>?</w:t>
      </w:r>
    </w:p>
    <w:p w14:paraId="751706F7" w14:textId="234187BF" w:rsidR="00E57847" w:rsidRDefault="00E57847" w:rsidP="00E57847">
      <w:pPr>
        <w:ind w:left="720"/>
      </w:pPr>
      <w:r>
        <w:t>Laboratory evidence of immunity is considered valid per ACIP recommendations, so we would consider this person to be immune as long as the labs demonstrated immunity to all three diseases covered by MMR vaccine. If even one disease shows as equivocal or not immune, the second dose of MMR should be administered to complete the series. Additionally, if the school or jurisdiction will not accept the laboratory evidence and require</w:t>
      </w:r>
      <w:r w:rsidR="00CA47B7">
        <w:t>s</w:t>
      </w:r>
      <w:r>
        <w:t xml:space="preserve"> 2 doses of MMR vaccine for all school</w:t>
      </w:r>
      <w:r w:rsidR="00CA47B7">
        <w:t>-</w:t>
      </w:r>
      <w:r>
        <w:t xml:space="preserve">age children, we recommend you follow those local requirements. If a second dose of MMR vaccine is given, further serologic testing </w:t>
      </w:r>
      <w:r w:rsidR="00CA47B7">
        <w:t>is</w:t>
      </w:r>
      <w:r>
        <w:t xml:space="preserve"> not recommended following the second dose of vaccine. Two valid doses of MMR vaccine </w:t>
      </w:r>
      <w:r w:rsidR="00CA47B7">
        <w:t>are</w:t>
      </w:r>
      <w:r>
        <w:t xml:space="preserve"> considered acceptable evidence of immunity regardless of any later titer results.</w:t>
      </w:r>
    </w:p>
    <w:p w14:paraId="0F7322CD" w14:textId="78A0B9D1" w:rsidR="00CD7134" w:rsidRDefault="00CD7134" w:rsidP="00E57847">
      <w:pPr>
        <w:pStyle w:val="ListParagraph"/>
        <w:numPr>
          <w:ilvl w:val="0"/>
          <w:numId w:val="1"/>
        </w:numPr>
      </w:pPr>
      <w:r>
        <w:t xml:space="preserve">Could we use MMRV for </w:t>
      </w:r>
      <w:r w:rsidR="00CA47B7">
        <w:t xml:space="preserve">the </w:t>
      </w:r>
      <w:r>
        <w:t xml:space="preserve">second </w:t>
      </w:r>
      <w:r w:rsidR="00CA47B7">
        <w:t xml:space="preserve">dose of </w:t>
      </w:r>
      <w:r>
        <w:t xml:space="preserve">MMR and </w:t>
      </w:r>
      <w:r w:rsidR="00CA47B7">
        <w:t xml:space="preserve">the </w:t>
      </w:r>
      <w:r>
        <w:t xml:space="preserve">first </w:t>
      </w:r>
      <w:r w:rsidR="00CA47B7">
        <w:t>dose of v</w:t>
      </w:r>
      <w:r>
        <w:t>aricella vaccine in a 4</w:t>
      </w:r>
      <w:r w:rsidR="00CA47B7">
        <w:t>-</w:t>
      </w:r>
      <w:r>
        <w:t>year</w:t>
      </w:r>
      <w:r w:rsidR="00CA47B7">
        <w:t>-</w:t>
      </w:r>
      <w:r>
        <w:t>old patient?</w:t>
      </w:r>
    </w:p>
    <w:p w14:paraId="4F0AC9B2" w14:textId="77777777" w:rsidR="00E57847" w:rsidRDefault="00E57847" w:rsidP="00E57847">
      <w:pPr>
        <w:pStyle w:val="ListParagraph"/>
      </w:pPr>
    </w:p>
    <w:p w14:paraId="6BE8867B" w14:textId="5E25F321" w:rsidR="00E57847" w:rsidRDefault="00E57847" w:rsidP="00023117">
      <w:pPr>
        <w:pStyle w:val="ListParagraph"/>
      </w:pPr>
      <w:r>
        <w:t>Yes.</w:t>
      </w:r>
      <w:r w:rsidRPr="00E57847">
        <w:t xml:space="preserve"> As long as there are no medical contraindications, MMRV can be used in anyone 12 months of age through 12 years of age. </w:t>
      </w:r>
      <w:r w:rsidR="00CA47B7">
        <w:t>MMRV</w:t>
      </w:r>
      <w:r w:rsidRPr="00E57847">
        <w:t xml:space="preserve"> is not FDA-approved or ACIP-recommended for anyone 13 years of age or older.</w:t>
      </w:r>
      <w:r>
        <w:t xml:space="preserve"> </w:t>
      </w:r>
      <w:r w:rsidR="00023117">
        <w:t xml:space="preserve">In the presentation, we discussed a slight increased risk of febrile seizures for young children if </w:t>
      </w:r>
      <w:r w:rsidR="00CA47B7">
        <w:t xml:space="preserve">MMRV is administered for </w:t>
      </w:r>
      <w:r w:rsidR="00023117">
        <w:t>the first dose. So</w:t>
      </w:r>
      <w:r w:rsidR="002B58E4">
        <w:t>,</w:t>
      </w:r>
      <w:r w:rsidR="00023117">
        <w:t xml:space="preserve"> u</w:t>
      </w:r>
      <w:r w:rsidRPr="00E57847">
        <w:t xml:space="preserve">nless the parent or caregiver has a preference for MMRV, CDC recommends that separate MMR and varicella vaccines be administered at separate sites for the </w:t>
      </w:r>
      <w:r w:rsidR="00CA47B7">
        <w:t>fir</w:t>
      </w:r>
      <w:r w:rsidRPr="00E57847">
        <w:t>st dose in childr</w:t>
      </w:r>
      <w:r w:rsidR="00023117">
        <w:t xml:space="preserve">en 12 through 47 months of age. </w:t>
      </w:r>
      <w:r w:rsidRPr="00E57847">
        <w:t xml:space="preserve">For the </w:t>
      </w:r>
      <w:r w:rsidR="00CA47B7">
        <w:t>seco</w:t>
      </w:r>
      <w:r w:rsidRPr="00E57847">
        <w:t>nd dose at 15 months through 12 years of age</w:t>
      </w:r>
      <w:r w:rsidR="00CA47B7">
        <w:t>,</w:t>
      </w:r>
      <w:r w:rsidRPr="00E57847">
        <w:t xml:space="preserve"> or if the </w:t>
      </w:r>
      <w:r w:rsidR="00CA47B7">
        <w:t>fir</w:t>
      </w:r>
      <w:r w:rsidRPr="00E57847">
        <w:t>st dose is given at 48 months of age or older, MMRV is generally preferred because the risk of a febrile seizure is less.</w:t>
      </w:r>
    </w:p>
    <w:p w14:paraId="527C0E33" w14:textId="77777777" w:rsidR="00683AFB" w:rsidRDefault="00683AFB" w:rsidP="00023117">
      <w:pPr>
        <w:pStyle w:val="ListParagraph"/>
      </w:pPr>
    </w:p>
    <w:p w14:paraId="7C399B8E" w14:textId="57E7AC48" w:rsidR="00CD7134" w:rsidRDefault="00CD7134" w:rsidP="00683AFB">
      <w:pPr>
        <w:pStyle w:val="ListParagraph"/>
        <w:numPr>
          <w:ilvl w:val="0"/>
          <w:numId w:val="1"/>
        </w:numPr>
      </w:pPr>
      <w:r>
        <w:t xml:space="preserve">Do you </w:t>
      </w:r>
      <w:r w:rsidR="00683AFB">
        <w:t>recommend</w:t>
      </w:r>
      <w:r>
        <w:t xml:space="preserve"> </w:t>
      </w:r>
      <w:r w:rsidR="00C24D17">
        <w:t>MMR</w:t>
      </w:r>
      <w:r>
        <w:t xml:space="preserve"> vaccine for infants 6</w:t>
      </w:r>
      <w:r w:rsidR="00C24D17">
        <w:t>–</w:t>
      </w:r>
      <w:r>
        <w:t xml:space="preserve">12 months </w:t>
      </w:r>
      <w:r w:rsidR="00C24D17">
        <w:t xml:space="preserve">of age </w:t>
      </w:r>
      <w:r>
        <w:t>who are traveling within the U</w:t>
      </w:r>
      <w:r w:rsidR="00C24D17">
        <w:t>nited States</w:t>
      </w:r>
      <w:r>
        <w:t xml:space="preserve"> to areas </w:t>
      </w:r>
      <w:r w:rsidR="00C24D17">
        <w:t xml:space="preserve">currently affected </w:t>
      </w:r>
      <w:r>
        <w:t>by measles?</w:t>
      </w:r>
    </w:p>
    <w:p w14:paraId="49119F68" w14:textId="77777777" w:rsidR="00683AFB" w:rsidRDefault="00683AFB" w:rsidP="00683AFB">
      <w:pPr>
        <w:pStyle w:val="ListParagraph"/>
      </w:pPr>
    </w:p>
    <w:p w14:paraId="441D2655" w14:textId="2BCF3B42" w:rsidR="00683AFB" w:rsidRDefault="00683AFB" w:rsidP="00683AFB">
      <w:pPr>
        <w:pStyle w:val="ListParagraph"/>
      </w:pPr>
      <w:r>
        <w:t>Health</w:t>
      </w:r>
      <w:r w:rsidR="00C24D17">
        <w:t xml:space="preserve"> </w:t>
      </w:r>
      <w:r>
        <w:t xml:space="preserve">care providers should check with the public health authorities in the area </w:t>
      </w:r>
      <w:r w:rsidR="00C24D17">
        <w:t>to which</w:t>
      </w:r>
      <w:r>
        <w:t xml:space="preserve"> the family plans to travel. If th</w:t>
      </w:r>
      <w:r w:rsidR="00C24D17">
        <w:t>at area’s</w:t>
      </w:r>
      <w:r>
        <w:t xml:space="preserve"> public health authority </w:t>
      </w:r>
      <w:r w:rsidR="00C24D17">
        <w:t>recommends</w:t>
      </w:r>
      <w:r>
        <w:t xml:space="preserve"> that infants 6</w:t>
      </w:r>
      <w:r w:rsidR="00C24D17">
        <w:t>–</w:t>
      </w:r>
      <w:r>
        <w:t xml:space="preserve">12 months of age should be vaccinated to protect them from measles, you may apply this recommendation to the infant </w:t>
      </w:r>
      <w:r w:rsidR="00C24D17">
        <w:t>who is traveling to</w:t>
      </w:r>
      <w:r>
        <w:t xml:space="preserve"> the outbreak area. </w:t>
      </w:r>
      <w:r w:rsidR="00C24D17">
        <w:t>B</w:t>
      </w:r>
      <w:r>
        <w:t xml:space="preserve">e sure to </w:t>
      </w:r>
      <w:r w:rsidR="00C24D17">
        <w:t xml:space="preserve">tell </w:t>
      </w:r>
      <w:r>
        <w:t xml:space="preserve">the parents that this dose will not count toward the </w:t>
      </w:r>
      <w:r w:rsidR="00C24D17">
        <w:t>2-dose series</w:t>
      </w:r>
      <w:r>
        <w:t xml:space="preserve"> </w:t>
      </w:r>
      <w:r w:rsidR="00C24D17">
        <w:t>that is recommended</w:t>
      </w:r>
      <w:r>
        <w:t xml:space="preserve"> beginning at </w:t>
      </w:r>
      <w:r w:rsidR="00C24D17">
        <w:t>1</w:t>
      </w:r>
      <w:r>
        <w:t xml:space="preserve"> year of age. You should also discuss the option of avoiding travel to the area until the outbreak has resolved.</w:t>
      </w:r>
    </w:p>
    <w:p w14:paraId="2D5464A5" w14:textId="77777777" w:rsidR="00683AFB" w:rsidRDefault="00683AFB" w:rsidP="00683AFB">
      <w:pPr>
        <w:pStyle w:val="ListParagraph"/>
      </w:pPr>
    </w:p>
    <w:p w14:paraId="19A5D8A6" w14:textId="4BEA6843" w:rsidR="00CD7134" w:rsidRDefault="00CD7134" w:rsidP="00CD7134">
      <w:pPr>
        <w:pStyle w:val="ListParagraph"/>
        <w:numPr>
          <w:ilvl w:val="0"/>
          <w:numId w:val="1"/>
        </w:numPr>
      </w:pPr>
      <w:r>
        <w:t xml:space="preserve">It is my understanding that MMRV is only recommended for the </w:t>
      </w:r>
      <w:r w:rsidR="00C24D17">
        <w:t>seco</w:t>
      </w:r>
      <w:r>
        <w:t xml:space="preserve">nd dose of MMR and </w:t>
      </w:r>
      <w:r w:rsidR="00C24D17">
        <w:t>v</w:t>
      </w:r>
      <w:r>
        <w:t>aricella</w:t>
      </w:r>
      <w:r w:rsidR="00610B21">
        <w:t xml:space="preserve"> vaccines</w:t>
      </w:r>
      <w:r>
        <w:t>, but in the presentation</w:t>
      </w:r>
      <w:r w:rsidR="00C24D17">
        <w:t>,</w:t>
      </w:r>
      <w:r>
        <w:t xml:space="preserve"> it was said that it can be given for both doses</w:t>
      </w:r>
      <w:r w:rsidR="00610B21">
        <w:t>.</w:t>
      </w:r>
      <w:r>
        <w:t xml:space="preserve"> </w:t>
      </w:r>
    </w:p>
    <w:p w14:paraId="0A750F75" w14:textId="77777777" w:rsidR="004F0CFD" w:rsidRDefault="004F0CFD" w:rsidP="004F0CFD">
      <w:pPr>
        <w:pStyle w:val="ListParagraph"/>
      </w:pPr>
    </w:p>
    <w:p w14:paraId="47DEA2FE" w14:textId="1B74A259" w:rsidR="00CD7134" w:rsidRDefault="00683AFB" w:rsidP="00683AFB">
      <w:pPr>
        <w:pStyle w:val="ListParagraph"/>
      </w:pPr>
      <w:r>
        <w:t xml:space="preserve">If the first dose is given at 48 months of age or older, then MMRV is generally preferred. </w:t>
      </w:r>
      <w:r w:rsidRPr="00683AFB">
        <w:t xml:space="preserve">Unless the parent or caregiver has a preference for MMRV, CDC recommends that separate MMR and varicella vaccines should be administered at separate sites for the </w:t>
      </w:r>
      <w:r w:rsidR="00C24D17">
        <w:t>fir</w:t>
      </w:r>
      <w:r w:rsidRPr="00683AFB">
        <w:t>st dose in children 12 through 47 months of age.</w:t>
      </w:r>
      <w:r>
        <w:t xml:space="preserve"> MMRV is not approved for use in persons 13 years of age and older.</w:t>
      </w:r>
    </w:p>
    <w:p w14:paraId="431FB98C" w14:textId="77777777" w:rsidR="00683AFB" w:rsidRDefault="00683AFB" w:rsidP="00683AFB">
      <w:pPr>
        <w:pStyle w:val="ListParagraph"/>
      </w:pPr>
    </w:p>
    <w:p w14:paraId="331E1071" w14:textId="2852AC98" w:rsidR="00CD7134" w:rsidRDefault="00683AFB" w:rsidP="00683AFB">
      <w:pPr>
        <w:pStyle w:val="ListParagraph"/>
        <w:numPr>
          <w:ilvl w:val="0"/>
          <w:numId w:val="1"/>
        </w:numPr>
      </w:pPr>
      <w:r>
        <w:t xml:space="preserve">What </w:t>
      </w:r>
      <w:r w:rsidR="00C24D17">
        <w:t>is</w:t>
      </w:r>
      <w:r w:rsidR="00CD7134">
        <w:t xml:space="preserve"> the recommendation for someone who has </w:t>
      </w:r>
      <w:r w:rsidR="00C24D17">
        <w:t>2</w:t>
      </w:r>
      <w:r w:rsidR="00CD7134">
        <w:t xml:space="preserve"> documented </w:t>
      </w:r>
      <w:r w:rsidR="00C24D17">
        <w:t xml:space="preserve">doses of </w:t>
      </w:r>
      <w:r w:rsidR="00CD7134">
        <w:t xml:space="preserve">MMR vaccine, </w:t>
      </w:r>
      <w:r w:rsidR="00C24D17">
        <w:t>but</w:t>
      </w:r>
      <w:r w:rsidR="00CD7134">
        <w:t xml:space="preserve"> </w:t>
      </w:r>
      <w:r w:rsidR="00C24D17">
        <w:t xml:space="preserve">then has a titer done to meet </w:t>
      </w:r>
      <w:r w:rsidR="00CD7134">
        <w:t xml:space="preserve">job/school requirements and </w:t>
      </w:r>
      <w:r w:rsidR="00C24D17">
        <w:t>it</w:t>
      </w:r>
      <w:r w:rsidR="00CD7134">
        <w:t xml:space="preserve"> shows no immunity?</w:t>
      </w:r>
    </w:p>
    <w:p w14:paraId="23699E10" w14:textId="77777777" w:rsidR="00683AFB" w:rsidRDefault="00683AFB" w:rsidP="00683AFB">
      <w:pPr>
        <w:pStyle w:val="ListParagraph"/>
      </w:pPr>
    </w:p>
    <w:p w14:paraId="25E18B94" w14:textId="04430ECB" w:rsidR="00683AFB" w:rsidRDefault="00683AFB" w:rsidP="00683AFB">
      <w:pPr>
        <w:pStyle w:val="ListParagraph"/>
      </w:pPr>
      <w:r>
        <w:t>ACIP recommend</w:t>
      </w:r>
      <w:r w:rsidR="00584D7A">
        <w:t>s</w:t>
      </w:r>
      <w:r>
        <w:t xml:space="preserve"> that </w:t>
      </w:r>
      <w:r w:rsidR="00584D7A">
        <w:t>documentation of 2</w:t>
      </w:r>
      <w:r>
        <w:t xml:space="preserve"> valid doses of MMR vaccine </w:t>
      </w:r>
      <w:r w:rsidR="00584D7A">
        <w:t>supersedes</w:t>
      </w:r>
      <w:r>
        <w:t xml:space="preserve"> any subsequent serologic testing</w:t>
      </w:r>
      <w:r w:rsidR="00FE3A03">
        <w:t xml:space="preserve">, even if titers are negative. </w:t>
      </w:r>
      <w:r w:rsidR="00FE3A03" w:rsidRPr="00FE3A03">
        <w:t>ACIP does not recommend serologic testing after vaccination because commercial tests may not be sensitive enough to reliably detect vaccine-induced immunity.</w:t>
      </w:r>
      <w:r w:rsidR="00FE3A03">
        <w:t xml:space="preserve"> </w:t>
      </w:r>
      <w:r w:rsidR="00584D7A">
        <w:t>P</w:t>
      </w:r>
      <w:r w:rsidR="00FE3A03">
        <w:t xml:space="preserve">roviding the ACIP recommendation is </w:t>
      </w:r>
      <w:r w:rsidR="00584D7A">
        <w:t xml:space="preserve">often </w:t>
      </w:r>
      <w:r w:rsidR="00FE3A03">
        <w:t xml:space="preserve">enough to convince the </w:t>
      </w:r>
      <w:r w:rsidR="00584D7A">
        <w:t>organization that required serology</w:t>
      </w:r>
      <w:r w:rsidR="00FE3A03">
        <w:t xml:space="preserve"> that the valid doses are sufficient evidence</w:t>
      </w:r>
      <w:r w:rsidR="00584D7A">
        <w:t xml:space="preserve"> of immunity</w:t>
      </w:r>
      <w:r w:rsidR="00FE3A03">
        <w:t xml:space="preserve">. However, if the </w:t>
      </w:r>
      <w:r w:rsidR="007E7723">
        <w:t>employer</w:t>
      </w:r>
      <w:r w:rsidR="00FE3A03">
        <w:t xml:space="preserve"> or school still will not accept </w:t>
      </w:r>
      <w:r w:rsidR="00584D7A">
        <w:t xml:space="preserve">the </w:t>
      </w:r>
      <w:r w:rsidR="00FE3A03">
        <w:t>ACIP recommendations for acceptable evidence of immunity, then you may have no choice but to follow the</w:t>
      </w:r>
      <w:r w:rsidR="00584D7A">
        <w:t>ir</w:t>
      </w:r>
      <w:r w:rsidR="00FE3A03">
        <w:t xml:space="preserve"> requirements</w:t>
      </w:r>
      <w:r w:rsidR="00584D7A">
        <w:t xml:space="preserve"> for vaccination</w:t>
      </w:r>
      <w:r w:rsidR="00FE3A03">
        <w:t xml:space="preserve">. </w:t>
      </w:r>
    </w:p>
    <w:p w14:paraId="58B47658" w14:textId="77777777" w:rsidR="00FE3A03" w:rsidRDefault="00FE3A03" w:rsidP="00683AFB">
      <w:pPr>
        <w:pStyle w:val="ListParagraph"/>
      </w:pPr>
    </w:p>
    <w:p w14:paraId="1E2CF60C" w14:textId="77777777" w:rsidR="00CD7134" w:rsidRDefault="00FE3A03" w:rsidP="00CD7134">
      <w:pPr>
        <w:pStyle w:val="ListParagraph"/>
        <w:numPr>
          <w:ilvl w:val="0"/>
          <w:numId w:val="1"/>
        </w:numPr>
      </w:pPr>
      <w:r>
        <w:t>C</w:t>
      </w:r>
      <w:r w:rsidR="004F0CFD">
        <w:t xml:space="preserve">an you please </w:t>
      </w:r>
      <w:r w:rsidR="00CD7134">
        <w:t>clarify the ti</w:t>
      </w:r>
      <w:r w:rsidR="004F0CFD">
        <w:t>me period between administering</w:t>
      </w:r>
      <w:r w:rsidR="00CD7134">
        <w:t xml:space="preserve"> live vaccine and other killed vaccines</w:t>
      </w:r>
      <w:r>
        <w:t>?</w:t>
      </w:r>
    </w:p>
    <w:p w14:paraId="3DE7E94D" w14:textId="77777777" w:rsidR="00FE3A03" w:rsidRDefault="00FE3A03" w:rsidP="00FE3A03">
      <w:pPr>
        <w:pStyle w:val="ListParagraph"/>
      </w:pPr>
    </w:p>
    <w:p w14:paraId="04EDF8A2" w14:textId="43B74A0A" w:rsidR="00C07D86" w:rsidRDefault="00C07D86" w:rsidP="00FE3A03">
      <w:pPr>
        <w:pStyle w:val="ListParagraph"/>
      </w:pPr>
      <w:r>
        <w:t>Generally, all live vaccines that are indicated for a patient should</w:t>
      </w:r>
      <w:r w:rsidR="00FE3A03">
        <w:t xml:space="preserve"> be g</w:t>
      </w:r>
      <w:r>
        <w:t>iven on the same day or you should</w:t>
      </w:r>
      <w:r w:rsidR="00FE3A03">
        <w:t xml:space="preserve"> wait 28 days be</w:t>
      </w:r>
      <w:r w:rsidR="00584D7A">
        <w:t>tween</w:t>
      </w:r>
      <w:r w:rsidR="00AF13D0">
        <w:t xml:space="preserve"> </w:t>
      </w:r>
      <w:r>
        <w:t>live vaccine</w:t>
      </w:r>
      <w:r w:rsidR="00AF13D0">
        <w:t>s</w:t>
      </w:r>
      <w:r>
        <w:t>. This is because the immune response to one live-virus vaccine might be impaired if administered within 28 days of another live-virus vaccine.</w:t>
      </w:r>
      <w:r w:rsidR="00FE3A03">
        <w:t xml:space="preserve"> </w:t>
      </w:r>
    </w:p>
    <w:p w14:paraId="3868012B" w14:textId="77777777" w:rsidR="00C07D86" w:rsidRDefault="00C07D86" w:rsidP="00FE3A03">
      <w:pPr>
        <w:pStyle w:val="ListParagraph"/>
      </w:pPr>
    </w:p>
    <w:p w14:paraId="0901AFCF" w14:textId="48D79006" w:rsidR="00FE3A03" w:rsidRDefault="00C07D86" w:rsidP="00FE3A03">
      <w:pPr>
        <w:pStyle w:val="ListParagraph"/>
      </w:pPr>
      <w:r w:rsidRPr="00C07D86">
        <w:t>Any inactivated vaccine can be administered either simultaneously or at any time before or after a different inac</w:t>
      </w:r>
      <w:r>
        <w:t>tivated or live vaccine. There are some exceptions, which are discussed</w:t>
      </w:r>
      <w:r w:rsidR="00584D7A">
        <w:t xml:space="preserve"> at</w:t>
      </w:r>
      <w:r w:rsidRPr="00C07D86">
        <w:t xml:space="preserve"> https://www.cdc.gov/vaccines/hcp/acip-recs/general-recs/timing.html</w:t>
      </w:r>
      <w:r w:rsidR="00584D7A">
        <w:t>.</w:t>
      </w:r>
    </w:p>
    <w:p w14:paraId="20C23BDE" w14:textId="77777777" w:rsidR="00C07D86" w:rsidRDefault="00C07D86" w:rsidP="00FE3A03">
      <w:pPr>
        <w:pStyle w:val="ListParagraph"/>
      </w:pPr>
    </w:p>
    <w:p w14:paraId="567F78CE" w14:textId="311DF5D3" w:rsidR="00C07D86" w:rsidRDefault="00CD7134" w:rsidP="00C07D86">
      <w:pPr>
        <w:pStyle w:val="ListParagraph"/>
        <w:numPr>
          <w:ilvl w:val="0"/>
          <w:numId w:val="1"/>
        </w:numPr>
      </w:pPr>
      <w:r>
        <w:t>You mentioned that adults with 2 documented doses of MMR w</w:t>
      </w:r>
      <w:r w:rsidR="00584D7A">
        <w:t>ho have</w:t>
      </w:r>
      <w:r>
        <w:t xml:space="preserve"> a negative or equivocal measles titer should not </w:t>
      </w:r>
      <w:r w:rsidR="00584D7A">
        <w:t>be</w:t>
      </w:r>
      <w:r>
        <w:t xml:space="preserve"> revaccinated. How can we be certain that the doses of MMR </w:t>
      </w:r>
      <w:r w:rsidR="00AF13D0">
        <w:t xml:space="preserve">the person received </w:t>
      </w:r>
      <w:r>
        <w:t>were not compromised by vaccine storage and handling failures?</w:t>
      </w:r>
    </w:p>
    <w:p w14:paraId="734A69C6" w14:textId="77777777" w:rsidR="00C07D86" w:rsidRDefault="00C07D86" w:rsidP="00C07D86">
      <w:pPr>
        <w:pStyle w:val="ListParagraph"/>
      </w:pPr>
    </w:p>
    <w:p w14:paraId="08C8C333" w14:textId="5D3187C7" w:rsidR="00CD7134" w:rsidRDefault="009A0CD6" w:rsidP="00C07D86">
      <w:pPr>
        <w:pStyle w:val="ListParagraph"/>
      </w:pPr>
      <w:r w:rsidRPr="009A0CD6">
        <w:t>ACIP does not recommend serologic testing after vaccination because commercial tests may not be sensitive enough to reliably detect vaccine-induced immunity.</w:t>
      </w:r>
      <w:r>
        <w:t xml:space="preserve"> </w:t>
      </w:r>
      <w:r w:rsidR="00584D7A">
        <w:t>In looking at any vaccination record</w:t>
      </w:r>
      <w:r w:rsidRPr="009A0CD6">
        <w:t xml:space="preserve">, </w:t>
      </w:r>
      <w:r w:rsidR="00584D7A">
        <w:t>you</w:t>
      </w:r>
      <w:r w:rsidRPr="009A0CD6">
        <w:t xml:space="preserve"> are trusting that the providers who stored, handled, and administered th</w:t>
      </w:r>
      <w:r w:rsidR="00584D7A">
        <w:t>e</w:t>
      </w:r>
      <w:r w:rsidRPr="009A0CD6">
        <w:t xml:space="preserve"> vaccine</w:t>
      </w:r>
      <w:r w:rsidR="00584D7A">
        <w:t>s</w:t>
      </w:r>
      <w:r w:rsidRPr="009A0CD6">
        <w:t xml:space="preserve"> did so in accordance with best practice standards. </w:t>
      </w:r>
      <w:r>
        <w:t>We continue to recommend</w:t>
      </w:r>
      <w:r w:rsidR="00AF13D0">
        <w:t xml:space="preserve"> that</w:t>
      </w:r>
      <w:r>
        <w:t xml:space="preserve"> providers follow </w:t>
      </w:r>
      <w:r w:rsidR="00584D7A">
        <w:t xml:space="preserve">the </w:t>
      </w:r>
      <w:r>
        <w:t xml:space="preserve">storage and handling recommendations </w:t>
      </w:r>
      <w:r w:rsidR="00584D7A">
        <w:t>in</w:t>
      </w:r>
      <w:r>
        <w:t xml:space="preserve"> CDC’s Vaccine Storage and Handling Toolkit (</w:t>
      </w:r>
      <w:hyperlink r:id="rId5" w:history="1">
        <w:r w:rsidRPr="009D743E">
          <w:rPr>
            <w:rStyle w:val="Hyperlink"/>
          </w:rPr>
          <w:t>https://www.cdc.gov/vaccines/hcp/admin/storage/index.html</w:t>
        </w:r>
      </w:hyperlink>
      <w:r>
        <w:t>).</w:t>
      </w:r>
    </w:p>
    <w:p w14:paraId="18F52F28" w14:textId="77777777" w:rsidR="009A0CD6" w:rsidRDefault="009A0CD6" w:rsidP="00C07D86">
      <w:pPr>
        <w:pStyle w:val="ListParagraph"/>
      </w:pPr>
    </w:p>
    <w:p w14:paraId="111ECAC8" w14:textId="7D5D3A72" w:rsidR="00CD7134" w:rsidRDefault="00584D7A" w:rsidP="009A0CD6">
      <w:pPr>
        <w:pStyle w:val="ListParagraph"/>
        <w:numPr>
          <w:ilvl w:val="0"/>
          <w:numId w:val="1"/>
        </w:numPr>
      </w:pPr>
      <w:r>
        <w:t>Are</w:t>
      </w:r>
      <w:r w:rsidR="009A0CD6">
        <w:t xml:space="preserve"> there single</w:t>
      </w:r>
      <w:r>
        <w:t>-</w:t>
      </w:r>
      <w:r w:rsidR="009A0CD6">
        <w:t xml:space="preserve">antigen </w:t>
      </w:r>
      <w:r>
        <w:t>vaccines</w:t>
      </w:r>
      <w:r w:rsidR="009A0CD6">
        <w:t xml:space="preserve"> for </w:t>
      </w:r>
      <w:r>
        <w:t>m</w:t>
      </w:r>
      <w:r w:rsidR="009A0CD6">
        <w:t xml:space="preserve">easles, </w:t>
      </w:r>
      <w:r>
        <w:t>m</w:t>
      </w:r>
      <w:r w:rsidR="009A0CD6">
        <w:t>u</w:t>
      </w:r>
      <w:r w:rsidR="00CD7134">
        <w:t xml:space="preserve">mps and </w:t>
      </w:r>
      <w:r>
        <w:t>r</w:t>
      </w:r>
      <w:r w:rsidR="00CD7134">
        <w:t>ubella in the U</w:t>
      </w:r>
      <w:r>
        <w:t>nited States</w:t>
      </w:r>
      <w:r w:rsidR="009A0CD6">
        <w:t>?</w:t>
      </w:r>
    </w:p>
    <w:p w14:paraId="65560570" w14:textId="77777777" w:rsidR="009A0CD6" w:rsidRDefault="009A0CD6" w:rsidP="009A0CD6">
      <w:pPr>
        <w:pStyle w:val="ListParagraph"/>
      </w:pPr>
    </w:p>
    <w:p w14:paraId="301B8F07" w14:textId="7C98175B" w:rsidR="009A0CD6" w:rsidRDefault="009A0CD6" w:rsidP="009A0CD6">
      <w:pPr>
        <w:pStyle w:val="ListParagraph"/>
      </w:pPr>
      <w:r>
        <w:t>No, there are no single</w:t>
      </w:r>
      <w:r w:rsidR="00584D7A">
        <w:t>-</w:t>
      </w:r>
      <w:r>
        <w:t>component products available in the US. If any single component of MMR vaccine is required, the combined vaccine should be used to fulfill the requirement.</w:t>
      </w:r>
    </w:p>
    <w:p w14:paraId="2C4AC441" w14:textId="77777777" w:rsidR="009A0CD6" w:rsidRDefault="009A0CD6" w:rsidP="009A0CD6">
      <w:pPr>
        <w:pStyle w:val="ListParagraph"/>
      </w:pPr>
    </w:p>
    <w:p w14:paraId="4B57BABE" w14:textId="0913B28A" w:rsidR="00CD7134" w:rsidRDefault="00CD7134" w:rsidP="009A0CD6">
      <w:pPr>
        <w:pStyle w:val="ListParagraph"/>
        <w:numPr>
          <w:ilvl w:val="0"/>
          <w:numId w:val="1"/>
        </w:numPr>
      </w:pPr>
      <w:r>
        <w:t xml:space="preserve">Often </w:t>
      </w:r>
      <w:r w:rsidR="009A0CD6">
        <w:t>travelers</w:t>
      </w:r>
      <w:r>
        <w:t xml:space="preserve"> </w:t>
      </w:r>
      <w:r w:rsidR="00F754A8">
        <w:t>wish to be</w:t>
      </w:r>
      <w:r>
        <w:t xml:space="preserve"> vaccin</w:t>
      </w:r>
      <w:r w:rsidR="00F754A8">
        <w:t>ated</w:t>
      </w:r>
      <w:r>
        <w:t xml:space="preserve"> less than 2 weeks before </w:t>
      </w:r>
      <w:r w:rsidR="00F754A8">
        <w:t xml:space="preserve">they plan to </w:t>
      </w:r>
      <w:r>
        <w:t>travel. With thermal screening done and potential fever 7</w:t>
      </w:r>
      <w:r w:rsidR="00F754A8">
        <w:t>–</w:t>
      </w:r>
      <w:r>
        <w:t>12 days after vacci</w:t>
      </w:r>
      <w:r w:rsidR="009A0CD6">
        <w:t>n</w:t>
      </w:r>
      <w:r w:rsidR="00F754A8">
        <w:t>ation</w:t>
      </w:r>
      <w:r w:rsidR="009A0CD6">
        <w:t xml:space="preserve">, should </w:t>
      </w:r>
      <w:r w:rsidR="007C602E">
        <w:t xml:space="preserve">patients be given </w:t>
      </w:r>
      <w:r w:rsidR="009A0CD6">
        <w:t xml:space="preserve">a letter </w:t>
      </w:r>
      <w:r w:rsidR="00F754A8">
        <w:t>about the</w:t>
      </w:r>
      <w:r w:rsidR="009A0CD6">
        <w:t xml:space="preserve"> </w:t>
      </w:r>
      <w:r>
        <w:t xml:space="preserve">potential for fever or </w:t>
      </w:r>
      <w:r w:rsidR="00F754A8">
        <w:t xml:space="preserve">should </w:t>
      </w:r>
      <w:r>
        <w:t xml:space="preserve">vaccine not be </w:t>
      </w:r>
      <w:r w:rsidR="00F754A8">
        <w:t>administered to such travelers</w:t>
      </w:r>
      <w:r>
        <w:t xml:space="preserve">? </w:t>
      </w:r>
    </w:p>
    <w:p w14:paraId="7FA3EFA6" w14:textId="77777777" w:rsidR="001E27D8" w:rsidRDefault="001E27D8" w:rsidP="001E27D8">
      <w:pPr>
        <w:pStyle w:val="ListParagraph"/>
      </w:pPr>
    </w:p>
    <w:p w14:paraId="4F2DB155" w14:textId="38624F03" w:rsidR="00A74714" w:rsidRDefault="00F754A8" w:rsidP="001E27D8">
      <w:pPr>
        <w:pStyle w:val="ListParagraph"/>
      </w:pPr>
      <w:r>
        <w:t>T</w:t>
      </w:r>
      <w:r w:rsidR="009A0CD6">
        <w:t xml:space="preserve">ravel vaccines </w:t>
      </w:r>
      <w:r w:rsidR="00AF13D0">
        <w:t xml:space="preserve">should </w:t>
      </w:r>
      <w:r w:rsidR="009A0CD6">
        <w:t>be administered accordin</w:t>
      </w:r>
      <w:r w:rsidR="001E27D8">
        <w:t>g to ACIP and</w:t>
      </w:r>
      <w:r w:rsidR="009A0CD6">
        <w:t xml:space="preserve"> CDC </w:t>
      </w:r>
      <w:r>
        <w:t>t</w:t>
      </w:r>
      <w:r w:rsidR="009A0CD6">
        <w:t xml:space="preserve">ravelers’ </w:t>
      </w:r>
      <w:r>
        <w:t>h</w:t>
      </w:r>
      <w:r w:rsidR="009A0CD6">
        <w:t>ealth recommendations (</w:t>
      </w:r>
      <w:hyperlink r:id="rId6" w:history="1">
        <w:r w:rsidR="009A0CD6" w:rsidRPr="009D743E">
          <w:rPr>
            <w:rStyle w:val="Hyperlink"/>
          </w:rPr>
          <w:t>https://wwwnc.cdc.gov/travel</w:t>
        </w:r>
      </w:hyperlink>
      <w:r w:rsidR="009A0CD6">
        <w:t xml:space="preserve">). Ideally, the traveler </w:t>
      </w:r>
      <w:r>
        <w:t xml:space="preserve">should </w:t>
      </w:r>
      <w:r w:rsidR="009A0CD6">
        <w:t xml:space="preserve">receive those vaccines </w:t>
      </w:r>
      <w:r>
        <w:t>far enough in advance that they will not be at risk</w:t>
      </w:r>
      <w:r w:rsidR="009A0CD6">
        <w:t xml:space="preserve"> for fever w</w:t>
      </w:r>
      <w:r>
        <w:t>hen they</w:t>
      </w:r>
      <w:r w:rsidR="009A0CD6">
        <w:t xml:space="preserve"> travel. We also advise that providers educate patients on what to do in the event of common </w:t>
      </w:r>
      <w:r w:rsidR="0092357A">
        <w:t xml:space="preserve">adverse events </w:t>
      </w:r>
      <w:r w:rsidR="007C602E">
        <w:t xml:space="preserve">following vaccination </w:t>
      </w:r>
      <w:r w:rsidR="0092357A">
        <w:t xml:space="preserve">(such as fever, pain, and swelling at the injection site). </w:t>
      </w:r>
      <w:r w:rsidR="007C602E">
        <w:t>Be sure to recommend</w:t>
      </w:r>
      <w:r w:rsidR="0092357A">
        <w:t xml:space="preserve"> appropriate over</w:t>
      </w:r>
      <w:r w:rsidR="007C602E">
        <w:t>-</w:t>
      </w:r>
      <w:r w:rsidR="0092357A">
        <w:t>the</w:t>
      </w:r>
      <w:r w:rsidR="007C602E">
        <w:t>-</w:t>
      </w:r>
      <w:r w:rsidR="0092357A">
        <w:t>counter</w:t>
      </w:r>
      <w:r w:rsidR="007C602E">
        <w:t>,</w:t>
      </w:r>
      <w:r w:rsidR="0092357A">
        <w:t xml:space="preserve"> fever-reducing medications. </w:t>
      </w:r>
    </w:p>
    <w:p w14:paraId="26F8F7CD" w14:textId="77777777" w:rsidR="00A74714" w:rsidRDefault="00A74714" w:rsidP="001E27D8">
      <w:pPr>
        <w:pStyle w:val="ListParagraph"/>
      </w:pPr>
    </w:p>
    <w:p w14:paraId="384738DB" w14:textId="6FF66CAA" w:rsidR="009A0CD6" w:rsidRDefault="0092357A" w:rsidP="001E27D8">
      <w:pPr>
        <w:pStyle w:val="ListParagraph"/>
      </w:pPr>
      <w:r>
        <w:t xml:space="preserve">We do not have a recommendation to provide a letter </w:t>
      </w:r>
      <w:r w:rsidR="007C602E">
        <w:t xml:space="preserve">that would </w:t>
      </w:r>
      <w:r>
        <w:t>allow a febrile passenger to circumvent airport screening syst</w:t>
      </w:r>
      <w:r w:rsidR="00A74714">
        <w:t>ems</w:t>
      </w:r>
      <w:r>
        <w:t xml:space="preserve">. Fevers </w:t>
      </w:r>
      <w:r w:rsidR="001E27D8">
        <w:t xml:space="preserve">during </w:t>
      </w:r>
      <w:r w:rsidR="004F0CFD">
        <w:t xml:space="preserve">travel </w:t>
      </w:r>
      <w:r>
        <w:t xml:space="preserve">should be assessed on a case-by-case basis </w:t>
      </w:r>
      <w:r w:rsidR="007C602E">
        <w:t>because</w:t>
      </w:r>
      <w:r>
        <w:t xml:space="preserve"> </w:t>
      </w:r>
      <w:r w:rsidR="00AF13D0">
        <w:t>a</w:t>
      </w:r>
      <w:r>
        <w:t xml:space="preserve"> fever </w:t>
      </w:r>
      <w:r w:rsidR="007C602E">
        <w:t>could</w:t>
      </w:r>
      <w:r>
        <w:t xml:space="preserve"> </w:t>
      </w:r>
      <w:r w:rsidR="007C602E">
        <w:t>be due to</w:t>
      </w:r>
      <w:r>
        <w:t xml:space="preserve"> something</w:t>
      </w:r>
      <w:r w:rsidR="001E27D8">
        <w:t xml:space="preserve"> other than vaccin</w:t>
      </w:r>
      <w:r w:rsidR="00AF13D0">
        <w:t>ation</w:t>
      </w:r>
      <w:r w:rsidR="001E27D8">
        <w:t xml:space="preserve"> (i.e.</w:t>
      </w:r>
      <w:r w:rsidR="007C602E">
        <w:t>,</w:t>
      </w:r>
      <w:r w:rsidR="001E27D8">
        <w:t xml:space="preserve"> contagious</w:t>
      </w:r>
      <w:r>
        <w:t xml:space="preserve"> illness or other cause</w:t>
      </w:r>
      <w:r w:rsidR="00A74714">
        <w:t xml:space="preserve"> posing risk to</w:t>
      </w:r>
      <w:r w:rsidR="001E27D8">
        <w:t xml:space="preserve"> travelers</w:t>
      </w:r>
      <w:r>
        <w:t>).</w:t>
      </w:r>
      <w:r w:rsidR="00A74714">
        <w:t xml:space="preserve"> </w:t>
      </w:r>
    </w:p>
    <w:p w14:paraId="1F5D0B0B" w14:textId="77777777" w:rsidR="001E27D8" w:rsidRDefault="001E27D8" w:rsidP="001E27D8">
      <w:pPr>
        <w:pStyle w:val="ListParagraph"/>
      </w:pPr>
    </w:p>
    <w:p w14:paraId="4F7D6489" w14:textId="5BB3A2DA" w:rsidR="00CD7134" w:rsidRDefault="0092357A" w:rsidP="00CD7134">
      <w:pPr>
        <w:pStyle w:val="ListParagraph"/>
        <w:numPr>
          <w:ilvl w:val="0"/>
          <w:numId w:val="1"/>
        </w:numPr>
      </w:pPr>
      <w:r>
        <w:t>C</w:t>
      </w:r>
      <w:r w:rsidR="00CD7134">
        <w:t>an persons who are immunocompr</w:t>
      </w:r>
      <w:r w:rsidR="004F0CFD">
        <w:t>om</w:t>
      </w:r>
      <w:r w:rsidR="00CD7134">
        <w:t xml:space="preserve">ised </w:t>
      </w:r>
      <w:r w:rsidR="007C602E">
        <w:t>receive MMR</w:t>
      </w:r>
      <w:r w:rsidR="00CD7134">
        <w:t xml:space="preserve"> vaccine</w:t>
      </w:r>
      <w:r w:rsidR="004F0CFD">
        <w:t>?</w:t>
      </w:r>
    </w:p>
    <w:p w14:paraId="1886B6CF" w14:textId="77777777" w:rsidR="004F0CFD" w:rsidRDefault="004F0CFD" w:rsidP="004F0CFD">
      <w:pPr>
        <w:pStyle w:val="ListParagraph"/>
      </w:pPr>
    </w:p>
    <w:p w14:paraId="031FF147" w14:textId="3F9615B3" w:rsidR="004F0CFD" w:rsidRDefault="007C602E" w:rsidP="004F0CFD">
      <w:pPr>
        <w:pStyle w:val="ListParagraph"/>
      </w:pPr>
      <w:r>
        <w:t>According to</w:t>
      </w:r>
      <w:r w:rsidR="004F0CFD">
        <w:t xml:space="preserve"> ACIP recommendations, immunosuppression is a contraindication</w:t>
      </w:r>
      <w:r>
        <w:t xml:space="preserve"> to MMR vaccination</w:t>
      </w:r>
      <w:r w:rsidR="004F0CFD">
        <w:t>. The ACIP recommendation</w:t>
      </w:r>
      <w:r>
        <w:t>s</w:t>
      </w:r>
      <w:r w:rsidR="004F0CFD">
        <w:t xml:space="preserve"> state:</w:t>
      </w:r>
    </w:p>
    <w:p w14:paraId="7B77EE9B" w14:textId="77777777" w:rsidR="001E27D8" w:rsidRDefault="001E27D8" w:rsidP="004F0CFD">
      <w:pPr>
        <w:pStyle w:val="ListParagraph"/>
      </w:pPr>
    </w:p>
    <w:p w14:paraId="4309AAE5" w14:textId="7BCB4F70" w:rsidR="004F0CFD" w:rsidRDefault="004F0CFD" w:rsidP="004F0CFD">
      <w:pPr>
        <w:pStyle w:val="ListParagraph"/>
      </w:pPr>
      <w:r w:rsidRPr="004F0CFD">
        <w:t>MMR and MMRV vaccine should not be administered to 1) persons with primary or acquired immunodeficiency, including persons with immunosuppres</w:t>
      </w:r>
      <w:r w:rsidRPr="004F0CFD">
        <w:softHyphen/>
        <w:t>sion associated with cellular immunodeficiencies, hypogam</w:t>
      </w:r>
      <w:r w:rsidRPr="004F0CFD">
        <w:softHyphen/>
        <w:t xml:space="preserve">maglobulinemia, </w:t>
      </w:r>
      <w:proofErr w:type="spellStart"/>
      <w:r w:rsidRPr="004F0CFD">
        <w:t>dysgammaglobulinemia</w:t>
      </w:r>
      <w:proofErr w:type="spellEnd"/>
      <w:r w:rsidRPr="004F0CFD">
        <w:t xml:space="preserve"> and AIDS or severe immunosuppression associated with HIV infection; 2) persons with blood dyscrasias, leukemia, lymphomas of any type, or other malignant neoplasms affecting the bone marrow or lymphatic system; 3) persons who have a family history of congenital or hereditary immunodeficiency in first-degree relatives (e.g., parents and siblings), unless the immune compe</w:t>
      </w:r>
      <w:r w:rsidRPr="004F0CFD">
        <w:softHyphen/>
        <w:t>tence of the potential vaccine recipient has been substantiated clinically or verified by a laboratory; or 4) persons receiving systemic immunosuppressive therapy, including corticosteroids ≥2 mg/kg of body weight or ≥20 mg/day of prednisone or equivalent for persons who weigh &gt;10 kg, when administered for ≥2 weeks (</w:t>
      </w:r>
      <w:r w:rsidRPr="004F0CFD">
        <w:rPr>
          <w:i/>
          <w:iCs/>
        </w:rPr>
        <w:t>258</w:t>
      </w:r>
      <w:r w:rsidRPr="004F0CFD">
        <w:t xml:space="preserve">). Persons with HIV infection who do not have severe immunosuppression should receive MMR vaccine, but not MMRV vaccine (see subsection titled </w:t>
      </w:r>
      <w:r w:rsidR="007C602E">
        <w:t>“</w:t>
      </w:r>
      <w:r w:rsidRPr="004F0CFD">
        <w:t>Persons with HIV Infection</w:t>
      </w:r>
      <w:r w:rsidR="007C602E">
        <w:t>”</w:t>
      </w:r>
      <w:r w:rsidRPr="004F0CFD">
        <w:t>). Measles inclusion body encephalitis has been reported after administration of MMR vaccine to immunosup</w:t>
      </w:r>
      <w:r w:rsidRPr="004F0CFD">
        <w:softHyphen/>
        <w:t>pressed persons, as well as after natural measles infection with wild</w:t>
      </w:r>
      <w:r w:rsidR="007C602E">
        <w:t>-</w:t>
      </w:r>
      <w:r w:rsidRPr="004F0CFD">
        <w:t xml:space="preserve">type virus (see section titled </w:t>
      </w:r>
      <w:r w:rsidR="007C602E">
        <w:t>“</w:t>
      </w:r>
      <w:r w:rsidRPr="004F0CFD">
        <w:t>Safety of MMR and MMRV Vaccines</w:t>
      </w:r>
      <w:r w:rsidR="007C602E">
        <w:t>”</w:t>
      </w:r>
      <w:r w:rsidRPr="004F0CFD">
        <w:t>) (</w:t>
      </w:r>
      <w:r w:rsidRPr="004F0CFD">
        <w:rPr>
          <w:i/>
          <w:iCs/>
        </w:rPr>
        <w:t>259</w:t>
      </w:r>
      <w:r w:rsidRPr="004F0CFD">
        <w:t>–</w:t>
      </w:r>
      <w:r w:rsidRPr="004F0CFD">
        <w:rPr>
          <w:i/>
          <w:iCs/>
        </w:rPr>
        <w:t>261</w:t>
      </w:r>
      <w:r w:rsidRPr="004F0CFD">
        <w:t>).</w:t>
      </w:r>
    </w:p>
    <w:p w14:paraId="64EDE409" w14:textId="77777777" w:rsidR="001E27D8" w:rsidRDefault="001E27D8" w:rsidP="004F0CFD">
      <w:pPr>
        <w:pStyle w:val="ListParagraph"/>
      </w:pPr>
    </w:p>
    <w:p w14:paraId="15522D1A" w14:textId="77777777" w:rsidR="004F0CFD" w:rsidRDefault="00DA6EB1" w:rsidP="004F0CFD">
      <w:pPr>
        <w:pStyle w:val="ListParagraph"/>
      </w:pPr>
      <w:hyperlink r:id="rId7" w:history="1">
        <w:r w:rsidR="00DF4869" w:rsidRPr="003541FB">
          <w:rPr>
            <w:rStyle w:val="Hyperlink"/>
          </w:rPr>
          <w:t>https://www.cdc.gov/mmwr/pdf/rr/rr6204.pdf</w:t>
        </w:r>
      </w:hyperlink>
    </w:p>
    <w:p w14:paraId="0C98ED47" w14:textId="77777777" w:rsidR="00DF4869" w:rsidRDefault="00DF4869" w:rsidP="004F0CFD">
      <w:pPr>
        <w:pStyle w:val="ListParagraph"/>
      </w:pPr>
    </w:p>
    <w:p w14:paraId="61D3846C" w14:textId="41B36C9B" w:rsidR="001E27D8" w:rsidRDefault="004F0CFD" w:rsidP="001E27D8">
      <w:pPr>
        <w:pStyle w:val="ListParagraph"/>
        <w:numPr>
          <w:ilvl w:val="0"/>
          <w:numId w:val="1"/>
        </w:numPr>
      </w:pPr>
      <w:r>
        <w:t>I</w:t>
      </w:r>
      <w:r w:rsidR="00CD7134">
        <w:t>f a person ha</w:t>
      </w:r>
      <w:r w:rsidR="00AF13D0">
        <w:t>s</w:t>
      </w:r>
      <w:r w:rsidR="00CD7134">
        <w:t xml:space="preserve"> a history of severe allergic reaction to egg, should </w:t>
      </w:r>
      <w:r>
        <w:t xml:space="preserve">they </w:t>
      </w:r>
      <w:r w:rsidR="00CD7134">
        <w:t>be vaccinated?</w:t>
      </w:r>
    </w:p>
    <w:p w14:paraId="0A8C15F4" w14:textId="77777777" w:rsidR="001E27D8" w:rsidRDefault="001E27D8" w:rsidP="001E27D8">
      <w:pPr>
        <w:pStyle w:val="ListParagraph"/>
      </w:pPr>
    </w:p>
    <w:p w14:paraId="3B32E8A3" w14:textId="6D9F7D7B" w:rsidR="001E27D8" w:rsidRDefault="007C602E" w:rsidP="001E27D8">
      <w:pPr>
        <w:pStyle w:val="ListParagraph"/>
      </w:pPr>
      <w:r>
        <w:t>A h</w:t>
      </w:r>
      <w:r w:rsidR="009F3A24">
        <w:t xml:space="preserve">istory of anaphylactic reaction to a vaccine or any </w:t>
      </w:r>
      <w:r w:rsidR="00AF13D0">
        <w:t xml:space="preserve">vaccine </w:t>
      </w:r>
      <w:r w:rsidR="009F3A24">
        <w:t>component is always a contraindication</w:t>
      </w:r>
      <w:r>
        <w:t>.</w:t>
      </w:r>
      <w:r w:rsidR="009F3A24">
        <w:t xml:space="preserve"> </w:t>
      </w:r>
      <w:r>
        <w:t>T</w:t>
      </w:r>
      <w:r w:rsidR="009F3A24">
        <w:t>his is true for every vaccine</w:t>
      </w:r>
      <w:r>
        <w:t>—</w:t>
      </w:r>
      <w:r w:rsidR="009F3A24">
        <w:t>not just MMR and MMRV.</w:t>
      </w:r>
    </w:p>
    <w:p w14:paraId="2B139B7E" w14:textId="77777777" w:rsidR="001E27D8" w:rsidRDefault="001E27D8" w:rsidP="001E27D8">
      <w:pPr>
        <w:pStyle w:val="ListParagraph"/>
      </w:pPr>
    </w:p>
    <w:p w14:paraId="2A41084B" w14:textId="4572A281" w:rsidR="001E27D8" w:rsidRDefault="009F3A24" w:rsidP="001E27D8">
      <w:pPr>
        <w:pStyle w:val="ListParagraph"/>
      </w:pPr>
      <w:r>
        <w:t>ACIP recommendations state, “</w:t>
      </w:r>
      <w:r w:rsidRPr="009F3A24">
        <w:t>Immediate anaphylactic reactions after MMR vaccination are rar</w:t>
      </w:r>
      <w:r>
        <w:t>e (1.8–14.4 per million doses)</w:t>
      </w:r>
      <w:r w:rsidRPr="009F3A24">
        <w:t>. Although measles- and mumps-containing vaccines are grown in tissue from chick embryos, the rare</w:t>
      </w:r>
      <w:r w:rsidR="007C602E">
        <w:t>,</w:t>
      </w:r>
      <w:r w:rsidRPr="009F3A24">
        <w:t xml:space="preserve"> serious allergic reactions after MMR vaccination are not believed to be caused by egg antigens but by other components of the vaccin</w:t>
      </w:r>
      <w:r>
        <w:t>e, such as gelatin or neomycin</w:t>
      </w:r>
      <w:r w:rsidRPr="009F3A24">
        <w:t>.</w:t>
      </w:r>
      <w:r w:rsidR="007C602E">
        <w:t>”</w:t>
      </w:r>
    </w:p>
    <w:p w14:paraId="1BE7DEB8" w14:textId="77777777" w:rsidR="001E27D8" w:rsidRDefault="001E27D8" w:rsidP="001E27D8">
      <w:pPr>
        <w:pStyle w:val="ListParagraph"/>
      </w:pPr>
    </w:p>
    <w:p w14:paraId="2957F889" w14:textId="77777777" w:rsidR="009F3A24" w:rsidRDefault="00DA6EB1" w:rsidP="001E27D8">
      <w:pPr>
        <w:pStyle w:val="ListParagraph"/>
      </w:pPr>
      <w:hyperlink r:id="rId8" w:history="1">
        <w:r w:rsidR="001E27D8" w:rsidRPr="001F4457">
          <w:rPr>
            <w:rStyle w:val="Hyperlink"/>
          </w:rPr>
          <w:t>https://www.cdc.gov/mmwr/pdf/rr/rr6204.pdf</w:t>
        </w:r>
      </w:hyperlink>
    </w:p>
    <w:p w14:paraId="2EE66262" w14:textId="77777777" w:rsidR="001E27D8" w:rsidRDefault="001E27D8" w:rsidP="001E27D8">
      <w:pPr>
        <w:pStyle w:val="ListParagraph"/>
      </w:pPr>
    </w:p>
    <w:p w14:paraId="57590F6F" w14:textId="330E610B" w:rsidR="00CD7134" w:rsidRDefault="00CD7134" w:rsidP="009F3A24">
      <w:pPr>
        <w:pStyle w:val="ListParagraph"/>
        <w:numPr>
          <w:ilvl w:val="0"/>
          <w:numId w:val="1"/>
        </w:numPr>
      </w:pPr>
      <w:r>
        <w:t xml:space="preserve">A patient has </w:t>
      </w:r>
      <w:r w:rsidR="009F3A24">
        <w:t>received</w:t>
      </w:r>
      <w:r w:rsidR="001E27D8">
        <w:t xml:space="preserve"> 2 </w:t>
      </w:r>
      <w:r>
        <w:t>d</w:t>
      </w:r>
      <w:r w:rsidR="009F3A24">
        <w:t>oses of MMR and previously showed</w:t>
      </w:r>
      <w:r>
        <w:t xml:space="preserve"> serological immunity</w:t>
      </w:r>
      <w:r w:rsidR="003D5EAF">
        <w:t>,</w:t>
      </w:r>
      <w:r>
        <w:t xml:space="preserve"> </w:t>
      </w:r>
      <w:r w:rsidR="003D5EAF">
        <w:t>but</w:t>
      </w:r>
      <w:r>
        <w:t xml:space="preserve"> now shows no immunity</w:t>
      </w:r>
      <w:r w:rsidR="003D5EAF">
        <w:t>.</w:t>
      </w:r>
      <w:r>
        <w:t xml:space="preserve"> Should they be revaccinated?</w:t>
      </w:r>
    </w:p>
    <w:p w14:paraId="0EB1FA42" w14:textId="77777777" w:rsidR="009F3A24" w:rsidRDefault="009F3A24" w:rsidP="009F3A24">
      <w:pPr>
        <w:pStyle w:val="ListParagraph"/>
      </w:pPr>
    </w:p>
    <w:p w14:paraId="5CDA5CCA" w14:textId="49ADC48D" w:rsidR="009F3A24" w:rsidRDefault="009F3A24" w:rsidP="009F3A24">
      <w:pPr>
        <w:pStyle w:val="ListParagraph"/>
      </w:pPr>
      <w:r>
        <w:t xml:space="preserve">No. Written documentation of adequate vaccination </w:t>
      </w:r>
      <w:r w:rsidR="003D5EAF">
        <w:t>supersedes</w:t>
      </w:r>
      <w:r>
        <w:t xml:space="preserve"> subsequent serological testing.</w:t>
      </w:r>
    </w:p>
    <w:p w14:paraId="40268EAB" w14:textId="77777777" w:rsidR="009F3A24" w:rsidRDefault="009F3A24" w:rsidP="009F3A24">
      <w:pPr>
        <w:pStyle w:val="ListParagraph"/>
      </w:pPr>
    </w:p>
    <w:p w14:paraId="223C156F" w14:textId="2A5A4218" w:rsidR="001E27D8" w:rsidRDefault="00CD7134" w:rsidP="001E27D8">
      <w:pPr>
        <w:pStyle w:val="ListParagraph"/>
        <w:numPr>
          <w:ilvl w:val="0"/>
          <w:numId w:val="1"/>
        </w:numPr>
      </w:pPr>
      <w:r>
        <w:t xml:space="preserve">I need more information about </w:t>
      </w:r>
      <w:r w:rsidR="003D5EAF">
        <w:t>t</w:t>
      </w:r>
      <w:r w:rsidR="009F3A24">
        <w:t>uberculin</w:t>
      </w:r>
      <w:r>
        <w:t xml:space="preserve"> test</w:t>
      </w:r>
      <w:r w:rsidR="003D5EAF">
        <w:t>ing</w:t>
      </w:r>
      <w:r>
        <w:t xml:space="preserve"> (TST)</w:t>
      </w:r>
      <w:r w:rsidR="003D5EAF">
        <w:t xml:space="preserve"> and </w:t>
      </w:r>
      <w:r w:rsidR="00AF13D0">
        <w:t xml:space="preserve">MMR </w:t>
      </w:r>
      <w:r w:rsidR="003D5EAF">
        <w:t>vaccine</w:t>
      </w:r>
      <w:r w:rsidR="009F3A24">
        <w:t>.</w:t>
      </w:r>
    </w:p>
    <w:p w14:paraId="760EF898" w14:textId="77777777" w:rsidR="001E27D8" w:rsidRDefault="001E27D8" w:rsidP="001E27D8">
      <w:pPr>
        <w:pStyle w:val="ListParagraph"/>
      </w:pPr>
    </w:p>
    <w:p w14:paraId="3763E50B" w14:textId="540C46CD" w:rsidR="001E27D8" w:rsidRDefault="009F3A24" w:rsidP="001E27D8">
      <w:pPr>
        <w:pStyle w:val="ListParagraph"/>
      </w:pPr>
      <w:r>
        <w:t>Inactivated vaccines can be given on the same day or at any time after a TST is done. A TST can be applied before or on the same day that live</w:t>
      </w:r>
      <w:r w:rsidR="003D5EAF">
        <w:t>-</w:t>
      </w:r>
      <w:r>
        <w:t xml:space="preserve">virus vaccines (e.g., MMR, varicella) are given. However, if </w:t>
      </w:r>
      <w:r w:rsidR="003D5EAF">
        <w:t>a</w:t>
      </w:r>
      <w:r>
        <w:t xml:space="preserve"> live vaccine </w:t>
      </w:r>
      <w:r w:rsidR="003D5EAF">
        <w:t>wa</w:t>
      </w:r>
      <w:r>
        <w:t xml:space="preserve">s given on the previous day or earlier, the TST should be delayed for at least 4 weeks (28 days). If a live vaccine </w:t>
      </w:r>
      <w:r w:rsidR="003D5EAF">
        <w:t>is</w:t>
      </w:r>
      <w:r>
        <w:t xml:space="preserve"> given prior to the application of a TST, </w:t>
      </w:r>
      <w:r w:rsidR="003D5EAF">
        <w:t>it</w:t>
      </w:r>
      <w:r>
        <w:t xml:space="preserve"> can reduce the reactivity of the skin test because of mild suppression of the immune system and result in a false</w:t>
      </w:r>
      <w:r w:rsidR="003D5EAF">
        <w:t>-</w:t>
      </w:r>
      <w:r>
        <w:t xml:space="preserve">negative TST. </w:t>
      </w:r>
    </w:p>
    <w:p w14:paraId="0E569A5C" w14:textId="77777777" w:rsidR="001E27D8" w:rsidRDefault="001E27D8" w:rsidP="001E27D8">
      <w:pPr>
        <w:pStyle w:val="ListParagraph"/>
      </w:pPr>
    </w:p>
    <w:p w14:paraId="2B6C7A37" w14:textId="76050B79" w:rsidR="001E27D8" w:rsidRDefault="009F3A24" w:rsidP="001E27D8">
      <w:pPr>
        <w:pStyle w:val="ListParagraph"/>
      </w:pPr>
      <w:r>
        <w:t xml:space="preserve">A more specific test for diagnosis of tuberculosis or latent tuberculosis infection is the interferon-gamma release assay (IGRA). The same timing guidelines that apply to the interval between a live vaccine and TST apply to IGRA (i.e., 28 days between </w:t>
      </w:r>
      <w:r w:rsidR="003D5EAF">
        <w:t xml:space="preserve">a </w:t>
      </w:r>
      <w:r>
        <w:t>live vaccine and IGRA if they do not occur on the same day) because IGRA (like TST) might be suppressed through immunologic mechanisms.</w:t>
      </w:r>
    </w:p>
    <w:p w14:paraId="7B994BB2" w14:textId="77777777" w:rsidR="001E27D8" w:rsidRDefault="001E27D8" w:rsidP="001E27D8">
      <w:pPr>
        <w:pStyle w:val="ListParagraph"/>
      </w:pPr>
    </w:p>
    <w:p w14:paraId="42F9E2F3" w14:textId="3A961B77" w:rsidR="001E27D8" w:rsidRDefault="009F3A24" w:rsidP="001E27D8">
      <w:pPr>
        <w:pStyle w:val="ListParagraph"/>
      </w:pPr>
      <w:r>
        <w:t xml:space="preserve">A two-step tuberculin test is recommended </w:t>
      </w:r>
      <w:r w:rsidR="00AF13D0">
        <w:t>in</w:t>
      </w:r>
      <w:r>
        <w:t xml:space="preserve"> certain situations. This test consists of two TSTs (or a TST followed by IGRA) separated by 1–3 weeks. If a live vaccine is administered, the first dose of a two-step TST should be delayed for 4 weeks, and if additional doses of live vaccines are indicated thereafter, they should be delayed until the second TST (or the IGRA after an initial TST).</w:t>
      </w:r>
    </w:p>
    <w:p w14:paraId="078464B7" w14:textId="77777777" w:rsidR="001E27D8" w:rsidRDefault="001E27D8" w:rsidP="001E27D8">
      <w:pPr>
        <w:pStyle w:val="ListParagraph"/>
      </w:pPr>
    </w:p>
    <w:p w14:paraId="7D186B30" w14:textId="2BA87D79" w:rsidR="001E27D8" w:rsidRDefault="009F3A24" w:rsidP="001E27D8">
      <w:pPr>
        <w:pStyle w:val="ListParagraph"/>
      </w:pPr>
      <w:r>
        <w:t xml:space="preserve">For more information, please see </w:t>
      </w:r>
      <w:hyperlink r:id="rId9" w:anchor="administration" w:history="1">
        <w:r w:rsidR="001E27D8" w:rsidRPr="001F4457">
          <w:rPr>
            <w:rStyle w:val="Hyperlink"/>
          </w:rPr>
          <w:t>https://www.cdc.gov/vaccines/hcp/acip-recs/general-recs/special-situations.html#administration</w:t>
        </w:r>
      </w:hyperlink>
      <w:r w:rsidR="003D5EAF">
        <w:rPr>
          <w:rStyle w:val="Hyperlink"/>
        </w:rPr>
        <w:t>.</w:t>
      </w:r>
    </w:p>
    <w:p w14:paraId="2CD4FECF" w14:textId="77777777" w:rsidR="001E27D8" w:rsidRDefault="001E27D8" w:rsidP="001E27D8">
      <w:pPr>
        <w:pStyle w:val="ListParagraph"/>
      </w:pPr>
    </w:p>
    <w:p w14:paraId="0240141C" w14:textId="796D83E1" w:rsidR="001E27D8" w:rsidRDefault="003D5EAF" w:rsidP="001E27D8">
      <w:pPr>
        <w:pStyle w:val="ListParagraph"/>
        <w:numPr>
          <w:ilvl w:val="0"/>
          <w:numId w:val="1"/>
        </w:numPr>
      </w:pPr>
      <w:r>
        <w:t>Is</w:t>
      </w:r>
      <w:r w:rsidR="00CD7134">
        <w:t xml:space="preserve"> an arthritis </w:t>
      </w:r>
      <w:r w:rsidR="009F3A24">
        <w:t>reaction</w:t>
      </w:r>
      <w:r>
        <w:t xml:space="preserve"> possible after MMR vaccination</w:t>
      </w:r>
      <w:r w:rsidR="009F3A24">
        <w:t>?</w:t>
      </w:r>
    </w:p>
    <w:p w14:paraId="6F501F88" w14:textId="77777777" w:rsidR="001E27D8" w:rsidRDefault="001E27D8" w:rsidP="001E27D8">
      <w:pPr>
        <w:pStyle w:val="ListParagraph"/>
      </w:pPr>
    </w:p>
    <w:p w14:paraId="6FD6886F" w14:textId="79694067" w:rsidR="001E27D8" w:rsidRDefault="009F3A24" w:rsidP="001E27D8">
      <w:pPr>
        <w:pStyle w:val="ListParagraph"/>
      </w:pPr>
      <w:r>
        <w:t>ACIP recommendations</w:t>
      </w:r>
      <w:r w:rsidR="003D5EAF">
        <w:t xml:space="preserve"> state</w:t>
      </w:r>
      <w:r>
        <w:t>:</w:t>
      </w:r>
    </w:p>
    <w:p w14:paraId="143D0DFA" w14:textId="55D89E63" w:rsidR="001E27D8" w:rsidRDefault="003D5EAF" w:rsidP="001E27D8">
      <w:pPr>
        <w:pStyle w:val="ListParagraph"/>
      </w:pPr>
      <w:r>
        <w:t>“</w:t>
      </w:r>
      <w:r w:rsidR="009F3A24" w:rsidRPr="009F3A24">
        <w:t>Joint symptoms are associated with the rubella component of MMR vaccine (</w:t>
      </w:r>
      <w:r w:rsidR="009F3A24" w:rsidRPr="009F3A24">
        <w:rPr>
          <w:i/>
          <w:iCs/>
        </w:rPr>
        <w:t>301</w:t>
      </w:r>
      <w:r w:rsidR="009F3A24" w:rsidRPr="009F3A24">
        <w:t xml:space="preserve">). Among persons without rubella immunity who receive rubella-containing vaccine, arthralgia and transient arthritis occur more frequently among adults than children, and more frequently among </w:t>
      </w:r>
      <w:proofErr w:type="spellStart"/>
      <w:r w:rsidR="009F3A24" w:rsidRPr="009F3A24">
        <w:t>postpubertal</w:t>
      </w:r>
      <w:proofErr w:type="spellEnd"/>
      <w:r w:rsidR="009F3A24" w:rsidRPr="009F3A24">
        <w:t xml:space="preserve"> females than males (</w:t>
      </w:r>
      <w:r w:rsidR="009F3A24" w:rsidRPr="009F3A24">
        <w:rPr>
          <w:i/>
          <w:iCs/>
        </w:rPr>
        <w:t>302</w:t>
      </w:r>
      <w:r w:rsidR="009F3A24" w:rsidRPr="009F3A24">
        <w:t>,</w:t>
      </w:r>
      <w:r w:rsidR="009F3A24" w:rsidRPr="009F3A24">
        <w:rPr>
          <w:i/>
          <w:iCs/>
        </w:rPr>
        <w:t>303</w:t>
      </w:r>
      <w:r w:rsidR="009F3A24" w:rsidRPr="009F3A24">
        <w:t>). Acute arthralgia or arthritis are rare among children who receive RA 27/3 vaccine (</w:t>
      </w:r>
      <w:r w:rsidR="009F3A24" w:rsidRPr="009F3A24">
        <w:rPr>
          <w:i/>
          <w:iCs/>
        </w:rPr>
        <w:t>160</w:t>
      </w:r>
      <w:r w:rsidR="009F3A24" w:rsidRPr="009F3A24">
        <w:t>,</w:t>
      </w:r>
      <w:r w:rsidR="009F3A24" w:rsidRPr="009F3A24">
        <w:rPr>
          <w:i/>
          <w:iCs/>
        </w:rPr>
        <w:t>303</w:t>
      </w:r>
      <w:r w:rsidR="009F3A24" w:rsidRPr="009F3A24">
        <w:t xml:space="preserve">). In contrast, arthralgia develops among approximately 25% of nonimmune </w:t>
      </w:r>
      <w:proofErr w:type="spellStart"/>
      <w:r w:rsidR="009F3A24" w:rsidRPr="009F3A24">
        <w:t>postpubertal</w:t>
      </w:r>
      <w:proofErr w:type="spellEnd"/>
      <w:r w:rsidR="009F3A24" w:rsidRPr="009F3A24">
        <w:t xml:space="preserve"> females after vaccination with rubella RA 27/3 vaccine, and approximately 10% to 30% have acute arthritis-like signs and symptoms (</w:t>
      </w:r>
      <w:r w:rsidR="009F3A24" w:rsidRPr="009F3A24">
        <w:rPr>
          <w:i/>
          <w:iCs/>
        </w:rPr>
        <w:t>154</w:t>
      </w:r>
      <w:r w:rsidR="009F3A24" w:rsidRPr="009F3A24">
        <w:t>,</w:t>
      </w:r>
      <w:r w:rsidR="009F3A24" w:rsidRPr="009F3A24">
        <w:rPr>
          <w:i/>
          <w:iCs/>
        </w:rPr>
        <w:t>160</w:t>
      </w:r>
      <w:r w:rsidR="009F3A24" w:rsidRPr="009F3A24">
        <w:t>,</w:t>
      </w:r>
      <w:r w:rsidR="009F3A24" w:rsidRPr="009F3A24">
        <w:rPr>
          <w:i/>
          <w:iCs/>
        </w:rPr>
        <w:t>282</w:t>
      </w:r>
      <w:r w:rsidR="009F3A24" w:rsidRPr="009F3A24">
        <w:t>,</w:t>
      </w:r>
      <w:r w:rsidR="009F3A24" w:rsidRPr="009F3A24">
        <w:rPr>
          <w:i/>
          <w:iCs/>
        </w:rPr>
        <w:t>301</w:t>
      </w:r>
      <w:r w:rsidR="009F3A24" w:rsidRPr="009F3A24">
        <w:t>). Arthralgia or arthritis generally begin</w:t>
      </w:r>
      <w:r>
        <w:t>s</w:t>
      </w:r>
      <w:r w:rsidR="009F3A24" w:rsidRPr="009F3A24">
        <w:t xml:space="preserve"> 1–3 weeks after vaccination, usually </w:t>
      </w:r>
      <w:r>
        <w:t>is</w:t>
      </w:r>
      <w:r w:rsidR="009F3A24" w:rsidRPr="009F3A24">
        <w:t xml:space="preserve"> mild and not incapacitating, lasts about 2 days, and rarely recur</w:t>
      </w:r>
      <w:r>
        <w:t>s</w:t>
      </w:r>
      <w:r w:rsidR="009F3A24" w:rsidRPr="009F3A24">
        <w:t xml:space="preserve"> (</w:t>
      </w:r>
      <w:r w:rsidR="009F3A24" w:rsidRPr="009F3A24">
        <w:rPr>
          <w:i/>
          <w:iCs/>
        </w:rPr>
        <w:t>160</w:t>
      </w:r>
      <w:r w:rsidR="009F3A24" w:rsidRPr="009F3A24">
        <w:t>,</w:t>
      </w:r>
      <w:r w:rsidR="009F3A24" w:rsidRPr="009F3A24">
        <w:rPr>
          <w:i/>
          <w:iCs/>
        </w:rPr>
        <w:t>301</w:t>
      </w:r>
      <w:r w:rsidR="009F3A24" w:rsidRPr="009F3A24">
        <w:t>,</w:t>
      </w:r>
      <w:r w:rsidR="009F3A24" w:rsidRPr="009F3A24">
        <w:rPr>
          <w:i/>
          <w:iCs/>
        </w:rPr>
        <w:t>303</w:t>
      </w:r>
      <w:r w:rsidR="009F3A24" w:rsidRPr="009F3A24">
        <w:t>,</w:t>
      </w:r>
      <w:r w:rsidR="009F3A24" w:rsidRPr="009F3A24">
        <w:rPr>
          <w:i/>
          <w:iCs/>
        </w:rPr>
        <w:t>304</w:t>
      </w:r>
      <w:r w:rsidR="009F3A24" w:rsidRPr="009F3A24">
        <w:t>).</w:t>
      </w:r>
      <w:r>
        <w:t>”</w:t>
      </w:r>
    </w:p>
    <w:p w14:paraId="054DE8D8" w14:textId="77777777" w:rsidR="001E27D8" w:rsidRDefault="001E27D8" w:rsidP="001E27D8">
      <w:pPr>
        <w:pStyle w:val="ListParagraph"/>
      </w:pPr>
    </w:p>
    <w:p w14:paraId="18EA62B7" w14:textId="77777777" w:rsidR="009F3A24" w:rsidRDefault="00DA6EB1" w:rsidP="001E27D8">
      <w:pPr>
        <w:pStyle w:val="ListParagraph"/>
      </w:pPr>
      <w:hyperlink r:id="rId10" w:history="1">
        <w:r w:rsidR="001E27D8" w:rsidRPr="001F4457">
          <w:rPr>
            <w:rStyle w:val="Hyperlink"/>
          </w:rPr>
          <w:t>https://www.cdc.gov/mmwr/pdf/rr/rr6204.pdf</w:t>
        </w:r>
      </w:hyperlink>
    </w:p>
    <w:p w14:paraId="72D9BB74" w14:textId="77777777" w:rsidR="001E27D8" w:rsidRDefault="001E27D8" w:rsidP="001E27D8">
      <w:pPr>
        <w:pStyle w:val="ListParagraph"/>
      </w:pPr>
    </w:p>
    <w:p w14:paraId="25F93B17" w14:textId="72411640" w:rsidR="00CD7134" w:rsidRDefault="00CD7134" w:rsidP="003061E4">
      <w:pPr>
        <w:pStyle w:val="ListParagraph"/>
        <w:numPr>
          <w:ilvl w:val="0"/>
          <w:numId w:val="1"/>
        </w:numPr>
      </w:pPr>
      <w:r>
        <w:t xml:space="preserve">If a person </w:t>
      </w:r>
      <w:r w:rsidR="009F3A24">
        <w:t>was born</w:t>
      </w:r>
      <w:r>
        <w:t xml:space="preserve"> before 1957</w:t>
      </w:r>
      <w:r w:rsidR="003D5EAF">
        <w:t>,</w:t>
      </w:r>
      <w:r>
        <w:t xml:space="preserve"> </w:t>
      </w:r>
      <w:r w:rsidR="003D5EAF">
        <w:t xml:space="preserve">should </w:t>
      </w:r>
      <w:r>
        <w:t>they be vaccinated?</w:t>
      </w:r>
    </w:p>
    <w:p w14:paraId="655CB533" w14:textId="77777777" w:rsidR="003061E4" w:rsidRDefault="003061E4" w:rsidP="003061E4">
      <w:pPr>
        <w:pStyle w:val="ListParagraph"/>
      </w:pPr>
    </w:p>
    <w:p w14:paraId="30A0492F" w14:textId="77777777" w:rsidR="003061E4" w:rsidRDefault="003061E4" w:rsidP="003061E4">
      <w:pPr>
        <w:pStyle w:val="ListParagraph"/>
      </w:pPr>
      <w:r>
        <w:t>Birth before 1957 is considered acceptable evidence of immunity.</w:t>
      </w:r>
      <w:r w:rsidR="00153421">
        <w:t xml:space="preserve"> </w:t>
      </w:r>
    </w:p>
    <w:p w14:paraId="102459E2" w14:textId="77777777" w:rsidR="00153421" w:rsidRDefault="00153421" w:rsidP="003061E4">
      <w:pPr>
        <w:pStyle w:val="ListParagraph"/>
      </w:pPr>
    </w:p>
    <w:p w14:paraId="5D98E35B" w14:textId="6BAA32BD" w:rsidR="00153421" w:rsidRDefault="00153421" w:rsidP="00153421">
      <w:pPr>
        <w:pStyle w:val="ListParagraph"/>
      </w:pPr>
      <w:r>
        <w:t>Although birth before 1957 is considered acceptable evidence of measles immunity, health</w:t>
      </w:r>
      <w:r w:rsidR="003D5EAF">
        <w:t xml:space="preserve"> </w:t>
      </w:r>
      <w:r>
        <w:t xml:space="preserve">care facilities should consider vaccinating unvaccinated personnel born before 1957 who do not have other evidence of immunity with 2 doses of MMR vaccine (minimum interval </w:t>
      </w:r>
      <w:r w:rsidR="003D5EAF">
        <w:t xml:space="preserve">of </w:t>
      </w:r>
      <w:r>
        <w:t>28 days</w:t>
      </w:r>
      <w:r w:rsidR="003D5EAF">
        <w:t xml:space="preserve"> between doses</w:t>
      </w:r>
      <w:r>
        <w:t xml:space="preserve">). </w:t>
      </w:r>
    </w:p>
    <w:p w14:paraId="4D56F2FF" w14:textId="77777777" w:rsidR="00153421" w:rsidRDefault="00153421" w:rsidP="00153421">
      <w:pPr>
        <w:pStyle w:val="ListParagraph"/>
      </w:pPr>
      <w:r>
        <w:t xml:space="preserve"> </w:t>
      </w:r>
    </w:p>
    <w:p w14:paraId="1BB511C8" w14:textId="16A07637" w:rsidR="00153421" w:rsidRDefault="00153421" w:rsidP="00153421">
      <w:pPr>
        <w:pStyle w:val="ListParagraph"/>
      </w:pPr>
      <w:r>
        <w:t>During an outbreak of measles, health</w:t>
      </w:r>
      <w:r w:rsidR="003D5EAF">
        <w:t xml:space="preserve"> </w:t>
      </w:r>
      <w:r>
        <w:t>care facilities should recommend 2 doses of MMR vaccine at the appropriate interval for unvaccinated health</w:t>
      </w:r>
      <w:r w:rsidR="003D5EAF">
        <w:t xml:space="preserve"> </w:t>
      </w:r>
      <w:r>
        <w:t>care personnel regardless of birth year if they lack laboratory evidence of measles immunity.</w:t>
      </w:r>
    </w:p>
    <w:p w14:paraId="0C77E3C6" w14:textId="77777777" w:rsidR="00153421" w:rsidRDefault="00153421" w:rsidP="00153421">
      <w:pPr>
        <w:pStyle w:val="ListParagraph"/>
      </w:pPr>
    </w:p>
    <w:p w14:paraId="6E69ECA8" w14:textId="78603CF5" w:rsidR="00153421" w:rsidRDefault="00CD7134" w:rsidP="00C24D17">
      <w:pPr>
        <w:pStyle w:val="ListParagraph"/>
        <w:numPr>
          <w:ilvl w:val="0"/>
          <w:numId w:val="1"/>
        </w:numPr>
      </w:pPr>
      <w:r>
        <w:t xml:space="preserve">Have there been autism studies </w:t>
      </w:r>
      <w:r w:rsidR="00FA0846">
        <w:t>in relation to</w:t>
      </w:r>
      <w:r>
        <w:t xml:space="preserve"> the entire vaccin</w:t>
      </w:r>
      <w:r w:rsidR="003D5EAF">
        <w:t>ation</w:t>
      </w:r>
      <w:r>
        <w:t xml:space="preserve"> schedule as opposed to just MMR</w:t>
      </w:r>
      <w:r w:rsidR="00FA0846">
        <w:t xml:space="preserve"> vaccine</w:t>
      </w:r>
      <w:r>
        <w:t>?</w:t>
      </w:r>
    </w:p>
    <w:p w14:paraId="70A8DF0A" w14:textId="1F0F79D8" w:rsidR="00153421" w:rsidRDefault="00153421" w:rsidP="001E27D8">
      <w:pPr>
        <w:ind w:left="720"/>
      </w:pPr>
      <w:r>
        <w:t xml:space="preserve">Information on MMR vaccine safety can be found </w:t>
      </w:r>
      <w:r w:rsidR="003D5EAF">
        <w:t>at</w:t>
      </w:r>
      <w:r>
        <w:t xml:space="preserve"> </w:t>
      </w:r>
      <w:hyperlink r:id="rId11" w:history="1">
        <w:r w:rsidRPr="003541FB">
          <w:rPr>
            <w:rStyle w:val="Hyperlink"/>
          </w:rPr>
          <w:t>https://www.cdc.gov/vaccinesafety/vaccines/mmr/mmr-studies.html</w:t>
        </w:r>
      </w:hyperlink>
      <w:r w:rsidR="003D5EAF">
        <w:rPr>
          <w:rStyle w:val="Hyperlink"/>
        </w:rPr>
        <w:t>.</w:t>
      </w:r>
    </w:p>
    <w:p w14:paraId="19818622" w14:textId="2FC20A3E" w:rsidR="00153421" w:rsidRDefault="00153421" w:rsidP="001E27D8">
      <w:pPr>
        <w:ind w:left="720"/>
      </w:pPr>
      <w:r>
        <w:t xml:space="preserve">Information on multiple vaccines and the immune system can be found </w:t>
      </w:r>
      <w:r w:rsidR="003D5EAF">
        <w:t>at</w:t>
      </w:r>
      <w:r w:rsidRPr="00153421">
        <w:t xml:space="preserve"> </w:t>
      </w:r>
      <w:hyperlink r:id="rId12" w:history="1">
        <w:r w:rsidRPr="003541FB">
          <w:rPr>
            <w:rStyle w:val="Hyperlink"/>
          </w:rPr>
          <w:t>https://www.cdc.gov/vaccinesafety/concerns/multiple-vaccines-immunity.html</w:t>
        </w:r>
      </w:hyperlink>
      <w:r w:rsidR="003D5EAF">
        <w:rPr>
          <w:rStyle w:val="Hyperlink"/>
        </w:rPr>
        <w:t>.</w:t>
      </w:r>
    </w:p>
    <w:p w14:paraId="190397CD" w14:textId="70F4DE11" w:rsidR="00153421" w:rsidRDefault="00153421" w:rsidP="001E27D8">
      <w:pPr>
        <w:ind w:left="720"/>
      </w:pPr>
      <w:r>
        <w:t xml:space="preserve">Information </w:t>
      </w:r>
      <w:r w:rsidR="001E27D8">
        <w:t xml:space="preserve">on </w:t>
      </w:r>
      <w:r>
        <w:t>no link between vaccines and autism can be found</w:t>
      </w:r>
      <w:r w:rsidR="003D5EAF">
        <w:t xml:space="preserve"> at</w:t>
      </w:r>
      <w:r w:rsidRPr="00153421">
        <w:t xml:space="preserve"> </w:t>
      </w:r>
      <w:hyperlink r:id="rId13" w:history="1">
        <w:r w:rsidRPr="003541FB">
          <w:rPr>
            <w:rStyle w:val="Hyperlink"/>
          </w:rPr>
          <w:t>https://www.cdc.gov/vaccinesafety/concerns/autism.html</w:t>
        </w:r>
      </w:hyperlink>
      <w:r w:rsidR="003D5EAF">
        <w:rPr>
          <w:rStyle w:val="Hyperlink"/>
        </w:rPr>
        <w:t>.</w:t>
      </w:r>
      <w:r>
        <w:t xml:space="preserve"> </w:t>
      </w:r>
    </w:p>
    <w:p w14:paraId="39E357F5" w14:textId="34F78FC4" w:rsidR="00CD7134" w:rsidRDefault="00153421" w:rsidP="00153421">
      <w:pPr>
        <w:pStyle w:val="ListParagraph"/>
        <w:numPr>
          <w:ilvl w:val="0"/>
          <w:numId w:val="1"/>
        </w:numPr>
      </w:pPr>
      <w:r>
        <w:t>I</w:t>
      </w:r>
      <w:r w:rsidR="00CD7134">
        <w:t xml:space="preserve">n </w:t>
      </w:r>
      <w:r>
        <w:t>I</w:t>
      </w:r>
      <w:r w:rsidR="00CD7134">
        <w:t xml:space="preserve">ndia, </w:t>
      </w:r>
      <w:r w:rsidR="003D5EAF">
        <w:t>vaccine</w:t>
      </w:r>
      <w:r w:rsidR="00CD7134">
        <w:t xml:space="preserve"> is </w:t>
      </w:r>
      <w:r>
        <w:t>administered</w:t>
      </w:r>
      <w:r w:rsidR="00CD7134">
        <w:t xml:space="preserve"> at 9 months</w:t>
      </w:r>
      <w:r w:rsidR="003D5EAF">
        <w:t>, with the</w:t>
      </w:r>
      <w:r w:rsidR="00CD7134">
        <w:t xml:space="preserve"> </w:t>
      </w:r>
      <w:r w:rsidR="003D5EAF">
        <w:t>seco</w:t>
      </w:r>
      <w:r w:rsidR="00CD7134">
        <w:t xml:space="preserve">nd dose </w:t>
      </w:r>
      <w:r w:rsidR="00FA0846">
        <w:t xml:space="preserve">given </w:t>
      </w:r>
      <w:r w:rsidR="003D5EAF">
        <w:t>at</w:t>
      </w:r>
      <w:r w:rsidR="00CD7134">
        <w:t xml:space="preserve"> 15 to 18 months.</w:t>
      </w:r>
      <w:r>
        <w:t xml:space="preserve"> What is the </w:t>
      </w:r>
      <w:r w:rsidR="00CD7134">
        <w:t>rationale</w:t>
      </w:r>
      <w:r w:rsidR="00FA0846">
        <w:t xml:space="preserve"> for this schedule</w:t>
      </w:r>
      <w:r w:rsidR="00CD7134">
        <w:t>?</w:t>
      </w:r>
    </w:p>
    <w:p w14:paraId="61B22C97" w14:textId="77777777" w:rsidR="00153421" w:rsidRDefault="00153421" w:rsidP="00153421">
      <w:pPr>
        <w:pStyle w:val="ListParagraph"/>
      </w:pPr>
    </w:p>
    <w:p w14:paraId="0B658DDA" w14:textId="03021DDE" w:rsidR="00CD7134" w:rsidRDefault="00153421" w:rsidP="00153421">
      <w:pPr>
        <w:pStyle w:val="ListParagraph"/>
      </w:pPr>
      <w:r>
        <w:t xml:space="preserve">The Ministry of Health or </w:t>
      </w:r>
      <w:r w:rsidR="001E27D8">
        <w:t xml:space="preserve">other </w:t>
      </w:r>
      <w:r>
        <w:t xml:space="preserve">appropriate national </w:t>
      </w:r>
      <w:r w:rsidR="003D5EAF">
        <w:t>public health authority</w:t>
      </w:r>
      <w:r>
        <w:t xml:space="preserve"> for India </w:t>
      </w:r>
      <w:r w:rsidR="00874A0A">
        <w:t>should</w:t>
      </w:r>
      <w:r w:rsidR="001E27D8">
        <w:t xml:space="preserve"> comment on</w:t>
      </w:r>
      <w:r>
        <w:t xml:space="preserve"> </w:t>
      </w:r>
      <w:r w:rsidR="00874A0A">
        <w:t xml:space="preserve">the </w:t>
      </w:r>
      <w:r>
        <w:t xml:space="preserve">rationale for </w:t>
      </w:r>
      <w:r w:rsidR="00874A0A">
        <w:t>its</w:t>
      </w:r>
      <w:r>
        <w:t xml:space="preserve"> vaccination s</w:t>
      </w:r>
      <w:r w:rsidR="001E27D8">
        <w:t xml:space="preserve">chedule. </w:t>
      </w:r>
    </w:p>
    <w:p w14:paraId="51FF9460" w14:textId="77777777" w:rsidR="00153421" w:rsidRDefault="00153421" w:rsidP="00153421">
      <w:pPr>
        <w:pStyle w:val="ListParagraph"/>
      </w:pPr>
    </w:p>
    <w:p w14:paraId="54EBF8D8" w14:textId="5D80F078" w:rsidR="00CD7134" w:rsidRDefault="00CD7134" w:rsidP="00153421">
      <w:pPr>
        <w:pStyle w:val="ListParagraph"/>
        <w:numPr>
          <w:ilvl w:val="0"/>
          <w:numId w:val="1"/>
        </w:numPr>
      </w:pPr>
      <w:r>
        <w:t xml:space="preserve">When will </w:t>
      </w:r>
      <w:r w:rsidR="00874A0A">
        <w:t>the presentation</w:t>
      </w:r>
      <w:r>
        <w:t xml:space="preserve"> be </w:t>
      </w:r>
      <w:r w:rsidR="00153421">
        <w:t>accessible</w:t>
      </w:r>
      <w:r>
        <w:t xml:space="preserve"> on demand?</w:t>
      </w:r>
    </w:p>
    <w:p w14:paraId="7BB66BBA" w14:textId="77777777" w:rsidR="009A4401" w:rsidRDefault="009A4401" w:rsidP="009A4401">
      <w:pPr>
        <w:pStyle w:val="ListParagraph"/>
      </w:pPr>
    </w:p>
    <w:p w14:paraId="204FC90A" w14:textId="369615B0" w:rsidR="00153421" w:rsidRDefault="009A4401" w:rsidP="009A4401">
      <w:pPr>
        <w:pStyle w:val="ListParagraph"/>
      </w:pPr>
      <w:r>
        <w:t xml:space="preserve">The archived versions of the Pink Book webinars are usually posted within a few weeks of recording and can be found </w:t>
      </w:r>
      <w:r w:rsidR="00874A0A">
        <w:t>at</w:t>
      </w:r>
      <w:r>
        <w:t xml:space="preserve"> </w:t>
      </w:r>
      <w:hyperlink r:id="rId14" w:history="1">
        <w:r w:rsidRPr="003541FB">
          <w:rPr>
            <w:rStyle w:val="Hyperlink"/>
          </w:rPr>
          <w:t>https://www.cdc.gov/vaccines/ed/webinar-epv/index.html</w:t>
        </w:r>
      </w:hyperlink>
      <w:r w:rsidR="00874A0A">
        <w:rPr>
          <w:rStyle w:val="Hyperlink"/>
        </w:rPr>
        <w:t>.</w:t>
      </w:r>
    </w:p>
    <w:p w14:paraId="2FE051E3" w14:textId="77777777" w:rsidR="009A4401" w:rsidRDefault="009A4401" w:rsidP="009A4401">
      <w:pPr>
        <w:pStyle w:val="ListParagraph"/>
      </w:pPr>
    </w:p>
    <w:p w14:paraId="4BB22F5B" w14:textId="6B98AAE6" w:rsidR="00CD7134" w:rsidRDefault="00CD7134" w:rsidP="009A4401">
      <w:pPr>
        <w:pStyle w:val="ListParagraph"/>
        <w:numPr>
          <w:ilvl w:val="0"/>
          <w:numId w:val="1"/>
        </w:numPr>
      </w:pPr>
      <w:r>
        <w:t>When</w:t>
      </w:r>
      <w:r w:rsidR="00874A0A">
        <w:t xml:space="preserve"> a child who is current on vaccinations</w:t>
      </w:r>
      <w:r>
        <w:t xml:space="preserve"> travel</w:t>
      </w:r>
      <w:r w:rsidR="00874A0A">
        <w:t>s</w:t>
      </w:r>
      <w:r>
        <w:t xml:space="preserve"> out of the country</w:t>
      </w:r>
      <w:r w:rsidR="00874A0A">
        <w:t>,</w:t>
      </w:r>
      <w:r w:rsidR="009A4401">
        <w:t xml:space="preserve"> w</w:t>
      </w:r>
      <w:r>
        <w:t xml:space="preserve">hat is the rule of thumb </w:t>
      </w:r>
      <w:r w:rsidR="00874A0A">
        <w:t xml:space="preserve">for vaccinations </w:t>
      </w:r>
      <w:r>
        <w:t>upon their return and pri</w:t>
      </w:r>
      <w:r w:rsidR="009A4401">
        <w:t>or to entering school?</w:t>
      </w:r>
    </w:p>
    <w:p w14:paraId="0DCF9140" w14:textId="59109D78" w:rsidR="00A20B7A" w:rsidRDefault="00874A0A" w:rsidP="009A4401">
      <w:pPr>
        <w:ind w:left="720"/>
        <w:rPr>
          <w:bCs/>
        </w:rPr>
      </w:pPr>
      <w:r>
        <w:t>I</w:t>
      </w:r>
      <w:r w:rsidR="009A4401">
        <w:t xml:space="preserve">nfants 6 through 11 months of age should receive </w:t>
      </w:r>
      <w:r>
        <w:t>1</w:t>
      </w:r>
      <w:r w:rsidR="009A4401">
        <w:t xml:space="preserve"> dose of MMR vaccine prior to travel. Children 12 months of age or older should have </w:t>
      </w:r>
      <w:r>
        <w:t>2</w:t>
      </w:r>
      <w:r w:rsidR="009A4401">
        <w:t xml:space="preserve"> doses of MMR vaccine. </w:t>
      </w:r>
      <w:r>
        <w:rPr>
          <w:bCs/>
        </w:rPr>
        <w:t>Adolescents</w:t>
      </w:r>
      <w:r w:rsidR="00DF4869" w:rsidRPr="009A4401">
        <w:rPr>
          <w:bCs/>
        </w:rPr>
        <w:t xml:space="preserve"> without evidence of immunity </w:t>
      </w:r>
      <w:r>
        <w:rPr>
          <w:bCs/>
        </w:rPr>
        <w:t>to</w:t>
      </w:r>
      <w:r w:rsidR="00DF4869" w:rsidRPr="009A4401">
        <w:rPr>
          <w:bCs/>
        </w:rPr>
        <w:t xml:space="preserve"> measles should have documentation of </w:t>
      </w:r>
      <w:r>
        <w:rPr>
          <w:bCs/>
        </w:rPr>
        <w:t>2</w:t>
      </w:r>
      <w:r w:rsidR="00DF4869" w:rsidRPr="009A4401">
        <w:rPr>
          <w:bCs/>
        </w:rPr>
        <w:t xml:space="preserve"> doses of MMR vaccine</w:t>
      </w:r>
      <w:r w:rsidR="009A4401">
        <w:rPr>
          <w:bCs/>
        </w:rPr>
        <w:t xml:space="preserve">. </w:t>
      </w:r>
    </w:p>
    <w:p w14:paraId="6F03F9E5" w14:textId="70ED209D" w:rsidR="009A4401" w:rsidRDefault="009A4401" w:rsidP="009A4401">
      <w:pPr>
        <w:ind w:left="720"/>
      </w:pPr>
      <w:r>
        <w:rPr>
          <w:bCs/>
        </w:rPr>
        <w:t>To determine if there is a school rule or policy procedures</w:t>
      </w:r>
      <w:r w:rsidR="00874A0A">
        <w:rPr>
          <w:bCs/>
        </w:rPr>
        <w:t xml:space="preserve"> following travel</w:t>
      </w:r>
      <w:r>
        <w:rPr>
          <w:bCs/>
        </w:rPr>
        <w:t>, you should check directly with the school system or health department in charge of your jurisdiction. Generally, if a child was fully vaccinated prior to travel, they should be immune. The concern would be greater for a child who trave</w:t>
      </w:r>
      <w:r w:rsidR="002B58E4">
        <w:rPr>
          <w:bCs/>
        </w:rPr>
        <w:t>l</w:t>
      </w:r>
      <w:r>
        <w:rPr>
          <w:bCs/>
        </w:rPr>
        <w:t>ed without immunity.</w:t>
      </w:r>
    </w:p>
    <w:p w14:paraId="0696C87F" w14:textId="791B9999" w:rsidR="009A4401" w:rsidRDefault="00874A0A" w:rsidP="009A4401">
      <w:pPr>
        <w:pStyle w:val="ListParagraph"/>
        <w:numPr>
          <w:ilvl w:val="0"/>
          <w:numId w:val="1"/>
        </w:numPr>
      </w:pPr>
      <w:r>
        <w:t>A</w:t>
      </w:r>
      <w:r w:rsidR="009A4401">
        <w:t xml:space="preserve"> p</w:t>
      </w:r>
      <w:r w:rsidR="00CD7134">
        <w:t xml:space="preserve">atient works at an international airport </w:t>
      </w:r>
      <w:r w:rsidR="009A4401">
        <w:t xml:space="preserve">and is </w:t>
      </w:r>
      <w:r w:rsidR="00CD7134">
        <w:t>in contact wit</w:t>
      </w:r>
      <w:r w:rsidR="009A4401">
        <w:t xml:space="preserve">h international </w:t>
      </w:r>
      <w:r w:rsidR="002B58E4">
        <w:t>travelers but</w:t>
      </w:r>
      <w:r w:rsidR="009A4401">
        <w:t xml:space="preserve"> has no documented doses of MMR</w:t>
      </w:r>
      <w:r>
        <w:t>. S</w:t>
      </w:r>
      <w:r w:rsidR="00CD7134">
        <w:t xml:space="preserve">hould </w:t>
      </w:r>
      <w:r>
        <w:t>they be</w:t>
      </w:r>
      <w:r w:rsidR="00CD7134">
        <w:t xml:space="preserve"> vaccinate</w:t>
      </w:r>
      <w:r>
        <w:t>d</w:t>
      </w:r>
      <w:r w:rsidR="00CD7134">
        <w:t>?</w:t>
      </w:r>
    </w:p>
    <w:p w14:paraId="61965ED1" w14:textId="77777777" w:rsidR="009A4401" w:rsidRDefault="009A4401" w:rsidP="009A4401">
      <w:pPr>
        <w:pStyle w:val="ListParagraph"/>
      </w:pPr>
    </w:p>
    <w:p w14:paraId="60C057FB" w14:textId="77777777" w:rsidR="00DF4869" w:rsidRDefault="009A4401" w:rsidP="009A4401">
      <w:pPr>
        <w:pStyle w:val="ListParagraph"/>
      </w:pPr>
      <w:r w:rsidRPr="009A4401">
        <w:t>Adults born in 1957 or later need 1 dose or more of MMR unless they have other evidence of immunity.</w:t>
      </w:r>
    </w:p>
    <w:p w14:paraId="4DFC3324" w14:textId="77777777" w:rsidR="009A4401" w:rsidRDefault="009A4401" w:rsidP="009A4401">
      <w:pPr>
        <w:pStyle w:val="ListParagraph"/>
      </w:pPr>
      <w:r w:rsidRPr="009A4401">
        <w:t xml:space="preserve">  </w:t>
      </w:r>
    </w:p>
    <w:p w14:paraId="5F42C8B0" w14:textId="01932793" w:rsidR="00CD7134" w:rsidRDefault="00CD7134" w:rsidP="00DF4869">
      <w:pPr>
        <w:pStyle w:val="ListParagraph"/>
        <w:numPr>
          <w:ilvl w:val="0"/>
          <w:numId w:val="1"/>
        </w:numPr>
      </w:pPr>
      <w:r>
        <w:t xml:space="preserve">If a </w:t>
      </w:r>
      <w:r w:rsidR="00874A0A">
        <w:t>health care provider</w:t>
      </w:r>
      <w:r>
        <w:t xml:space="preserve"> has only </w:t>
      </w:r>
      <w:r w:rsidR="00874A0A">
        <w:t>1</w:t>
      </w:r>
      <w:r>
        <w:t xml:space="preserve"> documented dose of MMR, but titers show immunity, should they still receive a second dose?</w:t>
      </w:r>
    </w:p>
    <w:p w14:paraId="2019F543" w14:textId="0561DB8B" w:rsidR="00DF4869" w:rsidRDefault="00DF4869" w:rsidP="00DF4869">
      <w:pPr>
        <w:ind w:left="720"/>
      </w:pPr>
      <w:r w:rsidRPr="00DF4869">
        <w:t xml:space="preserve">Laboratory evidence of immunity is considered valid per ACIP recommendations, so we </w:t>
      </w:r>
      <w:r w:rsidR="001E27D8">
        <w:t>would consider this to be acceptable</w:t>
      </w:r>
      <w:r w:rsidRPr="00DF4869">
        <w:t xml:space="preserve"> as long as the lab </w:t>
      </w:r>
      <w:r w:rsidR="00874A0A">
        <w:t xml:space="preserve">results </w:t>
      </w:r>
      <w:r w:rsidRPr="00DF4869">
        <w:t xml:space="preserve">demonstrated immunity to all three diseases covered by MMR vaccine. </w:t>
      </w:r>
    </w:p>
    <w:p w14:paraId="1EE2BF58" w14:textId="16300C43" w:rsidR="00FC70C6" w:rsidRDefault="00CD7134" w:rsidP="00DF4869">
      <w:pPr>
        <w:pStyle w:val="ListParagraph"/>
        <w:numPr>
          <w:ilvl w:val="0"/>
          <w:numId w:val="1"/>
        </w:numPr>
      </w:pPr>
      <w:r>
        <w:t xml:space="preserve">If someone was born before 1957 and will be traveling internationally, do they need to have a </w:t>
      </w:r>
      <w:r w:rsidR="00DF4869">
        <w:t>titer</w:t>
      </w:r>
      <w:r>
        <w:t xml:space="preserve"> done</w:t>
      </w:r>
      <w:r w:rsidR="00DF4869">
        <w:t>?</w:t>
      </w:r>
    </w:p>
    <w:p w14:paraId="7BD348B0" w14:textId="77777777" w:rsidR="00DF4869" w:rsidRDefault="00DF4869" w:rsidP="00DF4869">
      <w:pPr>
        <w:ind w:left="720"/>
      </w:pPr>
      <w:r>
        <w:t xml:space="preserve">No, people born before 1957 are presumed </w:t>
      </w:r>
      <w:r w:rsidR="001E27D8">
        <w:t xml:space="preserve">to be </w:t>
      </w:r>
      <w:r>
        <w:t>immune to measles, mumps, and rubella.</w:t>
      </w:r>
    </w:p>
    <w:sectPr w:rsidR="00DF4869"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77919"/>
    <w:multiLevelType w:val="hybridMultilevel"/>
    <w:tmpl w:val="AD087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609C0"/>
    <w:multiLevelType w:val="hybridMultilevel"/>
    <w:tmpl w:val="95CEA096"/>
    <w:lvl w:ilvl="0" w:tplc="4A34FB28">
      <w:start w:val="1"/>
      <w:numFmt w:val="bullet"/>
      <w:lvlText w:val=""/>
      <w:lvlJc w:val="left"/>
      <w:pPr>
        <w:tabs>
          <w:tab w:val="num" w:pos="720"/>
        </w:tabs>
        <w:ind w:left="720" w:hanging="360"/>
      </w:pPr>
      <w:rPr>
        <w:rFonts w:ascii="Wingdings" w:hAnsi="Wingdings" w:hint="default"/>
      </w:rPr>
    </w:lvl>
    <w:lvl w:ilvl="1" w:tplc="F1A289AC" w:tentative="1">
      <w:start w:val="1"/>
      <w:numFmt w:val="bullet"/>
      <w:lvlText w:val=""/>
      <w:lvlJc w:val="left"/>
      <w:pPr>
        <w:tabs>
          <w:tab w:val="num" w:pos="1440"/>
        </w:tabs>
        <w:ind w:left="1440" w:hanging="360"/>
      </w:pPr>
      <w:rPr>
        <w:rFonts w:ascii="Wingdings" w:hAnsi="Wingdings" w:hint="default"/>
      </w:rPr>
    </w:lvl>
    <w:lvl w:ilvl="2" w:tplc="2ED06ADE" w:tentative="1">
      <w:start w:val="1"/>
      <w:numFmt w:val="bullet"/>
      <w:lvlText w:val=""/>
      <w:lvlJc w:val="left"/>
      <w:pPr>
        <w:tabs>
          <w:tab w:val="num" w:pos="2160"/>
        </w:tabs>
        <w:ind w:left="2160" w:hanging="360"/>
      </w:pPr>
      <w:rPr>
        <w:rFonts w:ascii="Wingdings" w:hAnsi="Wingdings" w:hint="default"/>
      </w:rPr>
    </w:lvl>
    <w:lvl w:ilvl="3" w:tplc="2AD4580E" w:tentative="1">
      <w:start w:val="1"/>
      <w:numFmt w:val="bullet"/>
      <w:lvlText w:val=""/>
      <w:lvlJc w:val="left"/>
      <w:pPr>
        <w:tabs>
          <w:tab w:val="num" w:pos="2880"/>
        </w:tabs>
        <w:ind w:left="2880" w:hanging="360"/>
      </w:pPr>
      <w:rPr>
        <w:rFonts w:ascii="Wingdings" w:hAnsi="Wingdings" w:hint="default"/>
      </w:rPr>
    </w:lvl>
    <w:lvl w:ilvl="4" w:tplc="875A227E" w:tentative="1">
      <w:start w:val="1"/>
      <w:numFmt w:val="bullet"/>
      <w:lvlText w:val=""/>
      <w:lvlJc w:val="left"/>
      <w:pPr>
        <w:tabs>
          <w:tab w:val="num" w:pos="3600"/>
        </w:tabs>
        <w:ind w:left="3600" w:hanging="360"/>
      </w:pPr>
      <w:rPr>
        <w:rFonts w:ascii="Wingdings" w:hAnsi="Wingdings" w:hint="default"/>
      </w:rPr>
    </w:lvl>
    <w:lvl w:ilvl="5" w:tplc="84E837BA" w:tentative="1">
      <w:start w:val="1"/>
      <w:numFmt w:val="bullet"/>
      <w:lvlText w:val=""/>
      <w:lvlJc w:val="left"/>
      <w:pPr>
        <w:tabs>
          <w:tab w:val="num" w:pos="4320"/>
        </w:tabs>
        <w:ind w:left="4320" w:hanging="360"/>
      </w:pPr>
      <w:rPr>
        <w:rFonts w:ascii="Wingdings" w:hAnsi="Wingdings" w:hint="default"/>
      </w:rPr>
    </w:lvl>
    <w:lvl w:ilvl="6" w:tplc="457AC1BC" w:tentative="1">
      <w:start w:val="1"/>
      <w:numFmt w:val="bullet"/>
      <w:lvlText w:val=""/>
      <w:lvlJc w:val="left"/>
      <w:pPr>
        <w:tabs>
          <w:tab w:val="num" w:pos="5040"/>
        </w:tabs>
        <w:ind w:left="5040" w:hanging="360"/>
      </w:pPr>
      <w:rPr>
        <w:rFonts w:ascii="Wingdings" w:hAnsi="Wingdings" w:hint="default"/>
      </w:rPr>
    </w:lvl>
    <w:lvl w:ilvl="7" w:tplc="F0D48D06" w:tentative="1">
      <w:start w:val="1"/>
      <w:numFmt w:val="bullet"/>
      <w:lvlText w:val=""/>
      <w:lvlJc w:val="left"/>
      <w:pPr>
        <w:tabs>
          <w:tab w:val="num" w:pos="5760"/>
        </w:tabs>
        <w:ind w:left="5760" w:hanging="360"/>
      </w:pPr>
      <w:rPr>
        <w:rFonts w:ascii="Wingdings" w:hAnsi="Wingdings" w:hint="default"/>
      </w:rPr>
    </w:lvl>
    <w:lvl w:ilvl="8" w:tplc="C35070E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134"/>
    <w:rsid w:val="00023117"/>
    <w:rsid w:val="00030D7A"/>
    <w:rsid w:val="000C6F6A"/>
    <w:rsid w:val="00153421"/>
    <w:rsid w:val="001E27D8"/>
    <w:rsid w:val="001E577E"/>
    <w:rsid w:val="002415D0"/>
    <w:rsid w:val="002B58E4"/>
    <w:rsid w:val="002D36C1"/>
    <w:rsid w:val="003061E4"/>
    <w:rsid w:val="003B606F"/>
    <w:rsid w:val="003D5EAF"/>
    <w:rsid w:val="004B50FC"/>
    <w:rsid w:val="004F0CFD"/>
    <w:rsid w:val="00500E9F"/>
    <w:rsid w:val="00584D7A"/>
    <w:rsid w:val="00610B21"/>
    <w:rsid w:val="00665987"/>
    <w:rsid w:val="00683AFB"/>
    <w:rsid w:val="007A4352"/>
    <w:rsid w:val="007C602E"/>
    <w:rsid w:val="007E7723"/>
    <w:rsid w:val="00874A0A"/>
    <w:rsid w:val="008E37AF"/>
    <w:rsid w:val="0092357A"/>
    <w:rsid w:val="009A0CD6"/>
    <w:rsid w:val="009A4401"/>
    <w:rsid w:val="009F3A24"/>
    <w:rsid w:val="00A20B7A"/>
    <w:rsid w:val="00A74714"/>
    <w:rsid w:val="00AB69FC"/>
    <w:rsid w:val="00AF13D0"/>
    <w:rsid w:val="00B96EE3"/>
    <w:rsid w:val="00C07D86"/>
    <w:rsid w:val="00C24D17"/>
    <w:rsid w:val="00C62E2F"/>
    <w:rsid w:val="00CA47B7"/>
    <w:rsid w:val="00CD7134"/>
    <w:rsid w:val="00CE3FF3"/>
    <w:rsid w:val="00D26908"/>
    <w:rsid w:val="00D45DEE"/>
    <w:rsid w:val="00DF4869"/>
    <w:rsid w:val="00E57847"/>
    <w:rsid w:val="00F754A8"/>
    <w:rsid w:val="00F9279D"/>
    <w:rsid w:val="00FA0846"/>
    <w:rsid w:val="00FC70C6"/>
    <w:rsid w:val="00FE3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9D84"/>
  <w15:chartTrackingRefBased/>
  <w15:docId w15:val="{20617C6E-7692-484B-BA63-BB4F29B2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134"/>
    <w:pPr>
      <w:ind w:left="720"/>
      <w:contextualSpacing/>
    </w:pPr>
  </w:style>
  <w:style w:type="character" w:styleId="Hyperlink">
    <w:name w:val="Hyperlink"/>
    <w:basedOn w:val="DefaultParagraphFont"/>
    <w:uiPriority w:val="99"/>
    <w:unhideWhenUsed/>
    <w:rsid w:val="002415D0"/>
    <w:rPr>
      <w:color w:val="0563C1" w:themeColor="hyperlink"/>
      <w:u w:val="single"/>
    </w:rPr>
  </w:style>
  <w:style w:type="character" w:styleId="CommentReference">
    <w:name w:val="annotation reference"/>
    <w:basedOn w:val="DefaultParagraphFont"/>
    <w:uiPriority w:val="99"/>
    <w:semiHidden/>
    <w:unhideWhenUsed/>
    <w:rsid w:val="007A4352"/>
    <w:rPr>
      <w:sz w:val="16"/>
      <w:szCs w:val="16"/>
    </w:rPr>
  </w:style>
  <w:style w:type="paragraph" w:styleId="CommentText">
    <w:name w:val="annotation text"/>
    <w:basedOn w:val="Normal"/>
    <w:link w:val="CommentTextChar"/>
    <w:uiPriority w:val="99"/>
    <w:semiHidden/>
    <w:unhideWhenUsed/>
    <w:rsid w:val="007A4352"/>
    <w:pPr>
      <w:spacing w:line="240" w:lineRule="auto"/>
    </w:pPr>
    <w:rPr>
      <w:sz w:val="20"/>
      <w:szCs w:val="20"/>
    </w:rPr>
  </w:style>
  <w:style w:type="character" w:customStyle="1" w:styleId="CommentTextChar">
    <w:name w:val="Comment Text Char"/>
    <w:basedOn w:val="DefaultParagraphFont"/>
    <w:link w:val="CommentText"/>
    <w:uiPriority w:val="99"/>
    <w:semiHidden/>
    <w:rsid w:val="007A4352"/>
    <w:rPr>
      <w:sz w:val="20"/>
      <w:szCs w:val="20"/>
    </w:rPr>
  </w:style>
  <w:style w:type="paragraph" w:styleId="CommentSubject">
    <w:name w:val="annotation subject"/>
    <w:basedOn w:val="CommentText"/>
    <w:next w:val="CommentText"/>
    <w:link w:val="CommentSubjectChar"/>
    <w:uiPriority w:val="99"/>
    <w:semiHidden/>
    <w:unhideWhenUsed/>
    <w:rsid w:val="007A4352"/>
    <w:rPr>
      <w:b/>
      <w:bCs/>
    </w:rPr>
  </w:style>
  <w:style w:type="character" w:customStyle="1" w:styleId="CommentSubjectChar">
    <w:name w:val="Comment Subject Char"/>
    <w:basedOn w:val="CommentTextChar"/>
    <w:link w:val="CommentSubject"/>
    <w:uiPriority w:val="99"/>
    <w:semiHidden/>
    <w:rsid w:val="007A4352"/>
    <w:rPr>
      <w:b/>
      <w:bCs/>
      <w:sz w:val="20"/>
      <w:szCs w:val="20"/>
    </w:rPr>
  </w:style>
  <w:style w:type="paragraph" w:styleId="BalloonText">
    <w:name w:val="Balloon Text"/>
    <w:basedOn w:val="Normal"/>
    <w:link w:val="BalloonTextChar"/>
    <w:uiPriority w:val="99"/>
    <w:semiHidden/>
    <w:unhideWhenUsed/>
    <w:rsid w:val="007A4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7540">
      <w:bodyDiv w:val="1"/>
      <w:marLeft w:val="0"/>
      <w:marRight w:val="0"/>
      <w:marTop w:val="0"/>
      <w:marBottom w:val="0"/>
      <w:divBdr>
        <w:top w:val="none" w:sz="0" w:space="0" w:color="auto"/>
        <w:left w:val="none" w:sz="0" w:space="0" w:color="auto"/>
        <w:bottom w:val="none" w:sz="0" w:space="0" w:color="auto"/>
        <w:right w:val="none" w:sz="0" w:space="0" w:color="auto"/>
      </w:divBdr>
      <w:divsChild>
        <w:div w:id="605306868">
          <w:marLeft w:val="389"/>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pdf/rr/rr6204.pdf" TargetMode="External"/><Relationship Id="rId13" Type="http://schemas.openxmlformats.org/officeDocument/2006/relationships/hyperlink" Target="https://www.cdc.gov/vaccinesafety/concerns/autism.html" TargetMode="External"/><Relationship Id="rId3" Type="http://schemas.openxmlformats.org/officeDocument/2006/relationships/settings" Target="settings.xml"/><Relationship Id="rId7" Type="http://schemas.openxmlformats.org/officeDocument/2006/relationships/hyperlink" Target="https://www.cdc.gov/mmwr/pdf/rr/rr6204.pdf" TargetMode="External"/><Relationship Id="rId12" Type="http://schemas.openxmlformats.org/officeDocument/2006/relationships/hyperlink" Target="https://www.cdc.gov/vaccinesafety/concerns/multiple-vaccines-immunit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c.cdc.gov/travel" TargetMode="External"/><Relationship Id="rId11" Type="http://schemas.openxmlformats.org/officeDocument/2006/relationships/hyperlink" Target="https://www.cdc.gov/vaccinesafety/vaccines/mmr/mmr-studies.html" TargetMode="External"/><Relationship Id="rId5" Type="http://schemas.openxmlformats.org/officeDocument/2006/relationships/hyperlink" Target="https://www.cdc.gov/vaccines/hcp/admin/storage/index.html" TargetMode="External"/><Relationship Id="rId15" Type="http://schemas.openxmlformats.org/officeDocument/2006/relationships/fontTable" Target="fontTable.xml"/><Relationship Id="rId10" Type="http://schemas.openxmlformats.org/officeDocument/2006/relationships/hyperlink" Target="https://www.cdc.gov/mmwr/pdf/rr/rr6204.pdf" TargetMode="External"/><Relationship Id="rId4" Type="http://schemas.openxmlformats.org/officeDocument/2006/relationships/webSettings" Target="webSettings.xml"/><Relationship Id="rId9" Type="http://schemas.openxmlformats.org/officeDocument/2006/relationships/hyperlink" Target="https://www.cdc.gov/vaccines/hcp/acip-recs/general-recs/special-situations.html" TargetMode="External"/><Relationship Id="rId14" Type="http://schemas.openxmlformats.org/officeDocument/2006/relationships/hyperlink" Target="https://www.cdc.gov/vaccines/ed/webinar-ep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3117</Words>
  <Characters>17772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Objio, Tina (CDC/DDID/NCIRD/ISD)</dc:creator>
  <cp:keywords/>
  <dc:description/>
  <cp:lastModifiedBy>Objio, Tina (CDC/DDID/NCIRD/ISD)</cp:lastModifiedBy>
  <cp:revision>3</cp:revision>
  <dcterms:created xsi:type="dcterms:W3CDTF">2019-10-04T11:20:00Z</dcterms:created>
  <dcterms:modified xsi:type="dcterms:W3CDTF">2019-10-04T11:56:00Z</dcterms:modified>
</cp:coreProperties>
</file>